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E8" w:rsidRDefault="00727AE8" w:rsidP="00727AE8">
      <w:pPr>
        <w:jc w:val="center"/>
        <w:rPr>
          <w:b/>
          <w:smallCaps/>
          <w:szCs w:val="24"/>
          <w:u w:val="single"/>
        </w:rPr>
      </w:pPr>
    </w:p>
    <w:p w:rsidR="00776B1D" w:rsidRDefault="00776B1D" w:rsidP="00727AE8">
      <w:pPr>
        <w:jc w:val="center"/>
        <w:rPr>
          <w:b/>
          <w:smallCaps/>
          <w:szCs w:val="24"/>
          <w:u w:val="single"/>
        </w:rPr>
      </w:pPr>
    </w:p>
    <w:p w:rsidR="00776B1D" w:rsidRPr="007D26FC" w:rsidRDefault="00776B1D" w:rsidP="00776B1D">
      <w:pPr>
        <w:jc w:val="right"/>
        <w:rPr>
          <w:rFonts w:asciiTheme="minorHAnsi" w:hAnsiTheme="minorHAnsi"/>
          <w:i/>
          <w:color w:val="548DD4" w:themeColor="text2" w:themeTint="99"/>
          <w:szCs w:val="24"/>
        </w:rPr>
      </w:pPr>
      <w:r w:rsidRPr="007D26FC">
        <w:rPr>
          <w:rFonts w:asciiTheme="minorHAnsi" w:hAnsiTheme="minorHAnsi"/>
          <w:i/>
          <w:color w:val="548DD4" w:themeColor="text2" w:themeTint="99"/>
          <w:szCs w:val="24"/>
        </w:rPr>
        <w:t xml:space="preserve">numero </w:t>
      </w:r>
      <w:r w:rsidR="00015A40">
        <w:rPr>
          <w:rFonts w:asciiTheme="minorHAnsi" w:hAnsiTheme="minorHAnsi"/>
          <w:i/>
          <w:color w:val="548DD4" w:themeColor="text2" w:themeTint="99"/>
          <w:szCs w:val="24"/>
        </w:rPr>
        <w:t>3</w:t>
      </w:r>
    </w:p>
    <w:p w:rsidR="00776B1D" w:rsidRPr="00D55B01" w:rsidRDefault="00776B1D" w:rsidP="00776B1D">
      <w:pPr>
        <w:jc w:val="center"/>
        <w:rPr>
          <w:b/>
          <w:smallCaps/>
          <w:szCs w:val="24"/>
          <w:u w:val="single"/>
        </w:rPr>
      </w:pPr>
    </w:p>
    <w:p w:rsidR="00776B1D" w:rsidRPr="00D55B01" w:rsidRDefault="00776B1D" w:rsidP="00776B1D">
      <w:pPr>
        <w:jc w:val="center"/>
        <w:rPr>
          <w:b/>
          <w:smallCaps/>
          <w:szCs w:val="24"/>
          <w:u w:val="single"/>
        </w:rPr>
      </w:pPr>
    </w:p>
    <w:p w:rsidR="00776B1D" w:rsidRPr="00D55B01" w:rsidRDefault="00776B1D" w:rsidP="00776B1D">
      <w:pPr>
        <w:jc w:val="center"/>
        <w:rPr>
          <w:b/>
          <w:smallCaps/>
          <w:szCs w:val="24"/>
          <w:u w:val="single"/>
        </w:rPr>
      </w:pPr>
    </w:p>
    <w:p w:rsidR="00776B1D" w:rsidRPr="00D55B01" w:rsidRDefault="00776B1D" w:rsidP="00776B1D">
      <w:pPr>
        <w:jc w:val="center"/>
        <w:rPr>
          <w:b/>
          <w:smallCaps/>
          <w:szCs w:val="24"/>
          <w:u w:val="single"/>
        </w:rPr>
      </w:pPr>
    </w:p>
    <w:tbl>
      <w:tblPr>
        <w:tblStyle w:val="Grigliatabella"/>
        <w:tblW w:w="0" w:type="auto"/>
        <w:tblInd w:w="3227" w:type="dxa"/>
        <w:tblLook w:val="04A0"/>
      </w:tblPr>
      <w:tblGrid>
        <w:gridCol w:w="3544"/>
      </w:tblGrid>
      <w:tr w:rsidR="00776B1D" w:rsidRPr="00D55B01" w:rsidTr="00776B1D">
        <w:tc>
          <w:tcPr>
            <w:tcW w:w="3544" w:type="dxa"/>
            <w:shd w:val="clear" w:color="auto" w:fill="548DD4" w:themeFill="text2" w:themeFillTint="99"/>
          </w:tcPr>
          <w:p w:rsidR="00776B1D" w:rsidRPr="00D55B01" w:rsidRDefault="00776B1D" w:rsidP="00776B1D">
            <w:pPr>
              <w:jc w:val="center"/>
              <w:rPr>
                <w:rFonts w:cs="Times New Roman"/>
                <w:b/>
                <w:smallCaps/>
                <w:sz w:val="24"/>
                <w:szCs w:val="24"/>
                <w:u w:val="single"/>
              </w:rPr>
            </w:pPr>
          </w:p>
          <w:p w:rsidR="00776B1D" w:rsidRPr="00D55B01" w:rsidRDefault="00776B1D" w:rsidP="00776B1D">
            <w:pPr>
              <w:shd w:val="clear" w:color="auto" w:fill="548DD4" w:themeFill="text2" w:themeFillTint="99"/>
              <w:jc w:val="center"/>
              <w:rPr>
                <w:rFonts w:cs="Times New Roman"/>
                <w:b/>
                <w:smallCaps/>
                <w:color w:val="FFFFFF" w:themeColor="background1"/>
                <w:sz w:val="60"/>
                <w:szCs w:val="60"/>
              </w:rPr>
            </w:pPr>
            <w:r w:rsidRPr="00D55B01">
              <w:rPr>
                <w:rFonts w:cs="Times New Roman"/>
                <w:b/>
                <w:smallCaps/>
                <w:color w:val="FFFFFF" w:themeColor="background1"/>
                <w:sz w:val="60"/>
                <w:szCs w:val="60"/>
              </w:rPr>
              <w:t>FOCUS</w:t>
            </w:r>
          </w:p>
          <w:p w:rsidR="00776B1D" w:rsidRPr="00D55B01" w:rsidRDefault="00776B1D" w:rsidP="00776B1D">
            <w:pPr>
              <w:jc w:val="center"/>
              <w:rPr>
                <w:rFonts w:cs="Times New Roman"/>
                <w:b/>
                <w:smallCaps/>
                <w:sz w:val="24"/>
                <w:szCs w:val="24"/>
                <w:u w:val="single"/>
              </w:rPr>
            </w:pPr>
          </w:p>
        </w:tc>
      </w:tr>
    </w:tbl>
    <w:p w:rsidR="00776B1D" w:rsidRPr="00D55B01" w:rsidRDefault="00776B1D" w:rsidP="00776B1D">
      <w:pPr>
        <w:jc w:val="center"/>
        <w:rPr>
          <w:b/>
          <w:smallCaps/>
          <w:szCs w:val="24"/>
          <w:u w:val="single"/>
        </w:rPr>
      </w:pPr>
    </w:p>
    <w:p w:rsidR="00776B1D" w:rsidRPr="00D55B01" w:rsidRDefault="00776B1D" w:rsidP="00776B1D">
      <w:pPr>
        <w:jc w:val="center"/>
        <w:rPr>
          <w:b/>
          <w:smallCaps/>
          <w:szCs w:val="24"/>
          <w:u w:val="single"/>
        </w:rPr>
      </w:pPr>
    </w:p>
    <w:p w:rsidR="00776B1D" w:rsidRPr="00D55B01" w:rsidRDefault="00776B1D" w:rsidP="00776B1D">
      <w:pPr>
        <w:jc w:val="center"/>
        <w:rPr>
          <w:b/>
          <w:smallCaps/>
          <w:szCs w:val="24"/>
          <w:u w:val="single"/>
        </w:rPr>
      </w:pPr>
    </w:p>
    <w:p w:rsidR="00776B1D" w:rsidRPr="00D55B01" w:rsidRDefault="00776B1D" w:rsidP="00776B1D">
      <w:pPr>
        <w:jc w:val="center"/>
        <w:rPr>
          <w:b/>
          <w:smallCaps/>
          <w:szCs w:val="24"/>
          <w:u w:val="single"/>
        </w:rPr>
      </w:pPr>
    </w:p>
    <w:p w:rsidR="00776B1D" w:rsidRDefault="00776B1D" w:rsidP="00776B1D">
      <w:pPr>
        <w:spacing w:after="0"/>
        <w:jc w:val="center"/>
        <w:outlineLvl w:val="5"/>
        <w:rPr>
          <w:rFonts w:eastAsia="Times New Roman"/>
          <w:b/>
          <w:bCs/>
          <w:color w:val="548DD4" w:themeColor="text2" w:themeTint="99"/>
          <w:sz w:val="36"/>
          <w:szCs w:val="36"/>
          <w:lang w:eastAsia="it-IT"/>
        </w:rPr>
      </w:pPr>
    </w:p>
    <w:p w:rsidR="00776B1D" w:rsidRDefault="00776B1D" w:rsidP="00776B1D">
      <w:pPr>
        <w:spacing w:after="0"/>
        <w:jc w:val="center"/>
        <w:outlineLvl w:val="5"/>
        <w:rPr>
          <w:rFonts w:eastAsia="Times New Roman"/>
          <w:b/>
          <w:bCs/>
          <w:color w:val="548DD4" w:themeColor="text2" w:themeTint="99"/>
          <w:sz w:val="36"/>
          <w:szCs w:val="36"/>
          <w:lang w:eastAsia="it-IT"/>
        </w:rPr>
      </w:pPr>
      <w:r>
        <w:rPr>
          <w:rFonts w:eastAsia="Times New Roman"/>
          <w:b/>
          <w:bCs/>
          <w:color w:val="548DD4" w:themeColor="text2" w:themeTint="99"/>
          <w:sz w:val="36"/>
          <w:szCs w:val="36"/>
          <w:lang w:eastAsia="it-IT"/>
        </w:rPr>
        <w:t>UNIONI CIVILI</w:t>
      </w:r>
    </w:p>
    <w:p w:rsidR="00776B1D" w:rsidRPr="00D55B01" w:rsidRDefault="00776B1D" w:rsidP="00776B1D">
      <w:pPr>
        <w:jc w:val="center"/>
        <w:rPr>
          <w:b/>
          <w:smallCaps/>
          <w:szCs w:val="24"/>
          <w:u w:val="single"/>
        </w:rPr>
      </w:pPr>
    </w:p>
    <w:p w:rsidR="00776B1D" w:rsidRPr="00D55B01" w:rsidRDefault="00776B1D" w:rsidP="00776B1D">
      <w:pPr>
        <w:jc w:val="center"/>
        <w:rPr>
          <w:b/>
          <w:smallCaps/>
          <w:szCs w:val="24"/>
          <w:u w:val="single"/>
        </w:rPr>
      </w:pPr>
    </w:p>
    <w:p w:rsidR="00776B1D" w:rsidRPr="00D55B01" w:rsidRDefault="00776B1D" w:rsidP="00776B1D">
      <w:pPr>
        <w:jc w:val="center"/>
        <w:rPr>
          <w:b/>
          <w:smallCaps/>
          <w:szCs w:val="24"/>
          <w:u w:val="single"/>
        </w:rPr>
      </w:pPr>
    </w:p>
    <w:p w:rsidR="00776B1D" w:rsidRPr="00D55B01" w:rsidRDefault="00776B1D" w:rsidP="00776B1D">
      <w:pPr>
        <w:jc w:val="center"/>
        <w:rPr>
          <w:b/>
          <w:smallCaps/>
          <w:szCs w:val="24"/>
          <w:u w:val="single"/>
        </w:rPr>
      </w:pPr>
    </w:p>
    <w:p w:rsidR="00776B1D" w:rsidRPr="00D55B01" w:rsidRDefault="00776B1D" w:rsidP="00776B1D">
      <w:pPr>
        <w:rPr>
          <w:b/>
          <w:smallCaps/>
          <w:szCs w:val="24"/>
          <w:u w:val="single"/>
        </w:rPr>
      </w:pPr>
    </w:p>
    <w:p w:rsidR="00776B1D" w:rsidRPr="00D55B01" w:rsidRDefault="00776B1D" w:rsidP="00776B1D">
      <w:pPr>
        <w:rPr>
          <w:b/>
          <w:smallCaps/>
          <w:szCs w:val="24"/>
          <w:u w:val="single"/>
        </w:rPr>
      </w:pPr>
    </w:p>
    <w:p w:rsidR="00776B1D" w:rsidRPr="00D55B01" w:rsidRDefault="00776B1D" w:rsidP="00776B1D">
      <w:pPr>
        <w:rPr>
          <w:b/>
          <w:smallCaps/>
          <w:szCs w:val="24"/>
          <w:u w:val="single"/>
        </w:rPr>
      </w:pPr>
    </w:p>
    <w:p w:rsidR="00776B1D" w:rsidRPr="00D55B01" w:rsidRDefault="00776B1D" w:rsidP="00776B1D">
      <w:pPr>
        <w:rPr>
          <w:b/>
          <w:smallCaps/>
          <w:szCs w:val="24"/>
          <w:u w:val="single"/>
        </w:rPr>
      </w:pPr>
    </w:p>
    <w:p w:rsidR="00776B1D" w:rsidRPr="00D55B01" w:rsidRDefault="00776B1D" w:rsidP="00776B1D">
      <w:pPr>
        <w:rPr>
          <w:b/>
          <w:smallCaps/>
          <w:szCs w:val="24"/>
          <w:u w:val="single"/>
        </w:rPr>
      </w:pPr>
    </w:p>
    <w:p w:rsidR="00776B1D" w:rsidRPr="001F2702" w:rsidRDefault="00776B1D" w:rsidP="00776B1D">
      <w:pPr>
        <w:rPr>
          <w:i/>
        </w:rPr>
      </w:pPr>
      <w:r w:rsidRPr="001F2702">
        <w:rPr>
          <w:i/>
        </w:rPr>
        <w:t xml:space="preserve">A cura di Fabiana </w:t>
      </w:r>
      <w:proofErr w:type="spellStart"/>
      <w:r w:rsidRPr="001F2702">
        <w:rPr>
          <w:i/>
        </w:rPr>
        <w:t>Pierbattista</w:t>
      </w:r>
      <w:proofErr w:type="spellEnd"/>
    </w:p>
    <w:p w:rsidR="00776B1D" w:rsidRDefault="00776B1D" w:rsidP="00776B1D"/>
    <w:p w:rsidR="00776B1D" w:rsidRDefault="008E2F0D" w:rsidP="00776B1D">
      <w:pPr>
        <w:jc w:val="right"/>
      </w:pPr>
      <w:r>
        <w:t xml:space="preserve">5 </w:t>
      </w:r>
      <w:r w:rsidR="00776B1D">
        <w:t>agosto 2015</w:t>
      </w:r>
    </w:p>
    <w:p w:rsidR="00776B1D" w:rsidRPr="00D55B01" w:rsidRDefault="00776B1D" w:rsidP="00776B1D">
      <w:pPr>
        <w:tabs>
          <w:tab w:val="left" w:pos="7371"/>
        </w:tabs>
        <w:rPr>
          <w:i/>
          <w:szCs w:val="24"/>
        </w:rPr>
      </w:pPr>
      <w:r w:rsidRPr="00D55B01">
        <w:rPr>
          <w:i/>
          <w:szCs w:val="24"/>
        </w:rPr>
        <w:tab/>
      </w:r>
    </w:p>
    <w:p w:rsidR="00776B1D" w:rsidRDefault="00776B1D" w:rsidP="00727AE8">
      <w:pPr>
        <w:jc w:val="center"/>
        <w:rPr>
          <w:b/>
          <w:smallCaps/>
          <w:szCs w:val="24"/>
          <w:u w:val="single"/>
        </w:rPr>
      </w:pPr>
    </w:p>
    <w:p w:rsidR="00230151" w:rsidRDefault="00230151"/>
    <w:p w:rsidR="00230151" w:rsidRDefault="00230151"/>
    <w:p w:rsidR="001E4209" w:rsidRPr="004D153A" w:rsidRDefault="001E4209" w:rsidP="001E4209">
      <w:pPr>
        <w:rPr>
          <w:rFonts w:asciiTheme="minorHAnsi" w:hAnsiTheme="minorHAnsi"/>
          <w:szCs w:val="24"/>
        </w:rPr>
      </w:pPr>
      <w:r w:rsidRPr="004D153A">
        <w:rPr>
          <w:rFonts w:asciiTheme="minorHAnsi" w:hAnsiTheme="minorHAnsi"/>
          <w:szCs w:val="24"/>
        </w:rPr>
        <w:t>INDICE</w:t>
      </w:r>
    </w:p>
    <w:p w:rsidR="0047164E" w:rsidRPr="004D153A" w:rsidRDefault="0047164E" w:rsidP="001E4209">
      <w:pPr>
        <w:rPr>
          <w:rFonts w:asciiTheme="minorHAnsi" w:hAnsiTheme="minorHAnsi"/>
          <w:szCs w:val="24"/>
        </w:rPr>
      </w:pPr>
    </w:p>
    <w:p w:rsidR="001E4209" w:rsidRPr="004D153A" w:rsidRDefault="001E4209" w:rsidP="001E4209">
      <w:pPr>
        <w:rPr>
          <w:rFonts w:asciiTheme="minorHAnsi" w:hAnsiTheme="minorHAnsi"/>
          <w:szCs w:val="24"/>
        </w:rPr>
      </w:pPr>
      <w:r w:rsidRPr="004D153A">
        <w:rPr>
          <w:rFonts w:asciiTheme="minorHAnsi" w:hAnsiTheme="minorHAnsi"/>
          <w:szCs w:val="24"/>
        </w:rPr>
        <w:t xml:space="preserve">Premessa </w:t>
      </w:r>
    </w:p>
    <w:p w:rsidR="001E4209" w:rsidRPr="004D153A" w:rsidRDefault="001E4209" w:rsidP="001E4209">
      <w:pPr>
        <w:pStyle w:val="Paragrafoelenco"/>
        <w:rPr>
          <w:rFonts w:asciiTheme="minorHAnsi" w:hAnsiTheme="minorHAnsi"/>
          <w:i/>
          <w:szCs w:val="24"/>
        </w:rPr>
      </w:pPr>
    </w:p>
    <w:p w:rsidR="00956A7F" w:rsidRPr="004D153A" w:rsidRDefault="00A96827" w:rsidP="00956A7F">
      <w:pPr>
        <w:pStyle w:val="Paragrafoelenco"/>
        <w:numPr>
          <w:ilvl w:val="0"/>
          <w:numId w:val="3"/>
        </w:numPr>
        <w:autoSpaceDE w:val="0"/>
        <w:autoSpaceDN w:val="0"/>
        <w:adjustRightInd w:val="0"/>
        <w:spacing w:after="0"/>
        <w:ind w:left="0" w:firstLine="0"/>
        <w:rPr>
          <w:rFonts w:asciiTheme="minorHAnsi" w:hAnsiTheme="minorHAnsi"/>
          <w:i/>
          <w:szCs w:val="24"/>
        </w:rPr>
      </w:pPr>
      <w:r w:rsidRPr="004D153A">
        <w:rPr>
          <w:rFonts w:asciiTheme="minorHAnsi" w:hAnsiTheme="minorHAnsi"/>
          <w:i/>
          <w:szCs w:val="24"/>
        </w:rPr>
        <w:t xml:space="preserve">La giurisprudenza della Corte europea dei diritti dell'uomo in tema di riconoscimento delle </w:t>
      </w:r>
      <w:r w:rsidR="00655CD4">
        <w:rPr>
          <w:rFonts w:asciiTheme="minorHAnsi" w:hAnsiTheme="minorHAnsi"/>
          <w:i/>
          <w:szCs w:val="24"/>
        </w:rPr>
        <w:tab/>
      </w:r>
      <w:r w:rsidRPr="004D153A">
        <w:rPr>
          <w:rFonts w:asciiTheme="minorHAnsi" w:hAnsiTheme="minorHAnsi"/>
          <w:i/>
          <w:szCs w:val="24"/>
        </w:rPr>
        <w:t>coppie dello stesso sesso.</w:t>
      </w:r>
    </w:p>
    <w:p w:rsidR="00A96827" w:rsidRPr="004D153A" w:rsidRDefault="00A96827" w:rsidP="00956A7F">
      <w:pPr>
        <w:pStyle w:val="Paragrafoelenco"/>
        <w:numPr>
          <w:ilvl w:val="0"/>
          <w:numId w:val="3"/>
        </w:numPr>
        <w:autoSpaceDE w:val="0"/>
        <w:autoSpaceDN w:val="0"/>
        <w:adjustRightInd w:val="0"/>
        <w:spacing w:after="0"/>
        <w:ind w:left="0" w:firstLine="0"/>
        <w:rPr>
          <w:rFonts w:asciiTheme="minorHAnsi" w:hAnsiTheme="minorHAnsi"/>
          <w:i/>
          <w:szCs w:val="24"/>
        </w:rPr>
      </w:pPr>
      <w:r w:rsidRPr="004D153A">
        <w:rPr>
          <w:rFonts w:asciiTheme="minorHAnsi" w:hAnsiTheme="minorHAnsi"/>
          <w:i/>
          <w:szCs w:val="24"/>
        </w:rPr>
        <w:t>La giurisprudenza delle Corti nazionali</w:t>
      </w:r>
      <w:r w:rsidR="00956A7F" w:rsidRPr="004D153A">
        <w:rPr>
          <w:rFonts w:asciiTheme="minorHAnsi" w:hAnsiTheme="minorHAnsi"/>
          <w:i/>
          <w:szCs w:val="24"/>
        </w:rPr>
        <w:t>.</w:t>
      </w:r>
    </w:p>
    <w:p w:rsidR="00956A7F" w:rsidRPr="004D153A" w:rsidRDefault="00956A7F" w:rsidP="00981AE6">
      <w:pPr>
        <w:pStyle w:val="Paragrafoelenco"/>
        <w:numPr>
          <w:ilvl w:val="0"/>
          <w:numId w:val="3"/>
        </w:numPr>
        <w:autoSpaceDE w:val="0"/>
        <w:autoSpaceDN w:val="0"/>
        <w:adjustRightInd w:val="0"/>
        <w:spacing w:after="0"/>
        <w:ind w:left="142" w:hanging="142"/>
        <w:rPr>
          <w:rFonts w:asciiTheme="minorHAnsi" w:hAnsiTheme="minorHAnsi"/>
          <w:i/>
          <w:szCs w:val="24"/>
        </w:rPr>
      </w:pPr>
      <w:r w:rsidRPr="004D153A">
        <w:rPr>
          <w:rFonts w:asciiTheme="minorHAnsi" w:hAnsiTheme="minorHAnsi"/>
          <w:i/>
          <w:szCs w:val="24"/>
        </w:rPr>
        <w:t>Il testo base all'esame della Commissione Giustizia del Senato.</w:t>
      </w:r>
    </w:p>
    <w:p w:rsidR="00956A7F" w:rsidRPr="004D153A" w:rsidRDefault="00956A7F" w:rsidP="00956A7F">
      <w:pPr>
        <w:pStyle w:val="Paragrafoelenco"/>
        <w:autoSpaceDE w:val="0"/>
        <w:autoSpaceDN w:val="0"/>
        <w:adjustRightInd w:val="0"/>
        <w:spacing w:after="0"/>
        <w:ind w:left="928"/>
        <w:rPr>
          <w:rFonts w:asciiTheme="minorHAnsi" w:hAnsiTheme="minorHAnsi"/>
          <w:i/>
          <w:szCs w:val="24"/>
        </w:rPr>
      </w:pPr>
    </w:p>
    <w:p w:rsidR="001E4209" w:rsidRPr="004D153A" w:rsidRDefault="001E4209" w:rsidP="00A96827">
      <w:pPr>
        <w:pStyle w:val="Paragrafoelenco"/>
        <w:numPr>
          <w:ilvl w:val="0"/>
          <w:numId w:val="4"/>
        </w:numPr>
        <w:rPr>
          <w:rFonts w:asciiTheme="minorHAnsi" w:hAnsiTheme="minorHAnsi"/>
          <w:i/>
          <w:szCs w:val="24"/>
        </w:rPr>
      </w:pPr>
      <w:r w:rsidRPr="004D153A">
        <w:rPr>
          <w:rFonts w:asciiTheme="minorHAnsi" w:hAnsiTheme="minorHAnsi"/>
          <w:i/>
          <w:szCs w:val="24"/>
        </w:rPr>
        <w:br w:type="page"/>
      </w:r>
    </w:p>
    <w:p w:rsidR="001E4209" w:rsidRPr="004D153A" w:rsidRDefault="001E4209">
      <w:pPr>
        <w:rPr>
          <w:rFonts w:asciiTheme="minorHAnsi" w:hAnsiTheme="minorHAnsi"/>
          <w:szCs w:val="24"/>
        </w:rPr>
      </w:pPr>
    </w:p>
    <w:p w:rsidR="0025215A" w:rsidRPr="004D153A" w:rsidRDefault="0025215A" w:rsidP="00055F44">
      <w:pPr>
        <w:spacing w:after="0" w:line="276" w:lineRule="auto"/>
        <w:rPr>
          <w:rFonts w:asciiTheme="minorHAnsi" w:hAnsiTheme="minorHAnsi"/>
          <w:szCs w:val="24"/>
        </w:rPr>
      </w:pPr>
    </w:p>
    <w:p w:rsidR="006A2639" w:rsidRDefault="00655CD4" w:rsidP="00055F44">
      <w:pPr>
        <w:spacing w:after="0" w:line="276" w:lineRule="auto"/>
        <w:rPr>
          <w:rFonts w:asciiTheme="minorHAnsi" w:hAnsiTheme="minorHAnsi"/>
          <w:szCs w:val="24"/>
        </w:rPr>
      </w:pPr>
      <w:r>
        <w:rPr>
          <w:rFonts w:asciiTheme="minorHAnsi" w:hAnsiTheme="minorHAnsi"/>
          <w:szCs w:val="24"/>
        </w:rPr>
        <w:t>L'Ordinamento italiano</w:t>
      </w:r>
      <w:r w:rsidR="005575B1" w:rsidRPr="004D153A">
        <w:rPr>
          <w:rFonts w:asciiTheme="minorHAnsi" w:hAnsiTheme="minorHAnsi"/>
          <w:szCs w:val="24"/>
        </w:rPr>
        <w:t xml:space="preserve"> </w:t>
      </w:r>
      <w:r>
        <w:rPr>
          <w:rFonts w:asciiTheme="minorHAnsi" w:hAnsiTheme="minorHAnsi"/>
          <w:szCs w:val="24"/>
        </w:rPr>
        <w:t xml:space="preserve">è privo </w:t>
      </w:r>
      <w:r w:rsidR="005575B1" w:rsidRPr="004D153A">
        <w:rPr>
          <w:rFonts w:asciiTheme="minorHAnsi" w:hAnsiTheme="minorHAnsi"/>
          <w:szCs w:val="24"/>
        </w:rPr>
        <w:t xml:space="preserve">di una disciplina </w:t>
      </w:r>
      <w:r w:rsidR="005575B1" w:rsidRPr="00655CD4">
        <w:rPr>
          <w:rFonts w:asciiTheme="minorHAnsi" w:hAnsiTheme="minorHAnsi"/>
          <w:szCs w:val="24"/>
        </w:rPr>
        <w:t xml:space="preserve">compiuta </w:t>
      </w:r>
      <w:r>
        <w:rPr>
          <w:rFonts w:asciiTheme="minorHAnsi" w:hAnsiTheme="minorHAnsi"/>
          <w:szCs w:val="24"/>
        </w:rPr>
        <w:t xml:space="preserve">delle </w:t>
      </w:r>
      <w:r w:rsidR="005575B1" w:rsidRPr="004D153A">
        <w:rPr>
          <w:rFonts w:asciiTheme="minorHAnsi" w:hAnsiTheme="minorHAnsi"/>
          <w:szCs w:val="24"/>
        </w:rPr>
        <w:t xml:space="preserve">convivenze tra persone dello stesso sesso, </w:t>
      </w:r>
      <w:r>
        <w:rPr>
          <w:rFonts w:asciiTheme="minorHAnsi" w:hAnsiTheme="minorHAnsi"/>
          <w:szCs w:val="24"/>
        </w:rPr>
        <w:t xml:space="preserve">materia sulla quale si </w:t>
      </w:r>
      <w:r w:rsidR="005575B1" w:rsidRPr="004D153A">
        <w:rPr>
          <w:rFonts w:asciiTheme="minorHAnsi" w:hAnsiTheme="minorHAnsi"/>
          <w:szCs w:val="24"/>
        </w:rPr>
        <w:t>sono succedut</w:t>
      </w:r>
      <w:r w:rsidR="003A22C9" w:rsidRPr="004D153A">
        <w:rPr>
          <w:rFonts w:asciiTheme="minorHAnsi" w:hAnsiTheme="minorHAnsi"/>
          <w:szCs w:val="24"/>
        </w:rPr>
        <w:t>e nel tempo diverse pronunce delle Corti nazionali</w:t>
      </w:r>
      <w:r w:rsidR="00A42E16" w:rsidRPr="004D153A">
        <w:rPr>
          <w:rFonts w:asciiTheme="minorHAnsi" w:hAnsiTheme="minorHAnsi"/>
          <w:szCs w:val="24"/>
        </w:rPr>
        <w:t xml:space="preserve"> ed </w:t>
      </w:r>
    </w:p>
    <w:p w:rsidR="005575B1" w:rsidRDefault="00A42E16" w:rsidP="00055F44">
      <w:pPr>
        <w:spacing w:after="0" w:line="276" w:lineRule="auto"/>
        <w:rPr>
          <w:rFonts w:asciiTheme="minorHAnsi" w:hAnsiTheme="minorHAnsi"/>
          <w:szCs w:val="24"/>
        </w:rPr>
      </w:pPr>
      <w:r w:rsidRPr="004D153A">
        <w:rPr>
          <w:rFonts w:asciiTheme="minorHAnsi" w:hAnsiTheme="minorHAnsi"/>
          <w:szCs w:val="24"/>
        </w:rPr>
        <w:t>europee</w:t>
      </w:r>
      <w:r w:rsidR="003A22C9" w:rsidRPr="004D153A">
        <w:rPr>
          <w:rFonts w:asciiTheme="minorHAnsi" w:hAnsiTheme="minorHAnsi"/>
          <w:szCs w:val="24"/>
        </w:rPr>
        <w:t>.</w:t>
      </w:r>
    </w:p>
    <w:p w:rsidR="006A2639" w:rsidRPr="004D153A" w:rsidRDefault="006A2639" w:rsidP="00055F44">
      <w:pPr>
        <w:spacing w:after="0" w:line="276" w:lineRule="auto"/>
        <w:rPr>
          <w:rFonts w:asciiTheme="minorHAnsi" w:hAnsiTheme="minorHAnsi"/>
          <w:szCs w:val="24"/>
        </w:rPr>
      </w:pPr>
    </w:p>
    <w:p w:rsidR="0025215A" w:rsidRPr="004D153A" w:rsidRDefault="0025215A" w:rsidP="00055F44">
      <w:pPr>
        <w:spacing w:after="0" w:line="276" w:lineRule="auto"/>
        <w:rPr>
          <w:rFonts w:asciiTheme="minorHAnsi" w:hAnsiTheme="minorHAnsi"/>
          <w:szCs w:val="24"/>
        </w:rPr>
      </w:pPr>
    </w:p>
    <w:p w:rsidR="00E73C86" w:rsidRPr="004D153A" w:rsidRDefault="00E73C86" w:rsidP="00055F44">
      <w:pPr>
        <w:autoSpaceDE w:val="0"/>
        <w:autoSpaceDN w:val="0"/>
        <w:adjustRightInd w:val="0"/>
        <w:spacing w:after="0" w:line="276" w:lineRule="auto"/>
        <w:jc w:val="center"/>
        <w:rPr>
          <w:rFonts w:asciiTheme="minorHAnsi" w:hAnsiTheme="minorHAnsi"/>
          <w:color w:val="FF0000"/>
          <w:szCs w:val="24"/>
        </w:rPr>
      </w:pPr>
    </w:p>
    <w:p w:rsidR="00E73C86" w:rsidRPr="004D153A" w:rsidRDefault="00981AE6" w:rsidP="00055F44">
      <w:pPr>
        <w:pStyle w:val="Paragrafoelenco"/>
        <w:autoSpaceDE w:val="0"/>
        <w:autoSpaceDN w:val="0"/>
        <w:adjustRightInd w:val="0"/>
        <w:spacing w:after="0" w:line="276" w:lineRule="auto"/>
        <w:ind w:left="0"/>
        <w:rPr>
          <w:rFonts w:asciiTheme="minorHAnsi" w:hAnsiTheme="minorHAnsi"/>
          <w:color w:val="FF0000"/>
          <w:szCs w:val="24"/>
        </w:rPr>
      </w:pPr>
      <w:r w:rsidRPr="004D153A">
        <w:rPr>
          <w:rFonts w:asciiTheme="minorHAnsi" w:hAnsiTheme="minorHAnsi"/>
          <w:color w:val="FF0000"/>
          <w:szCs w:val="24"/>
        </w:rPr>
        <w:t xml:space="preserve">1. </w:t>
      </w:r>
      <w:r w:rsidR="00E73C86" w:rsidRPr="004D153A">
        <w:rPr>
          <w:rFonts w:asciiTheme="minorHAnsi" w:hAnsiTheme="minorHAnsi"/>
          <w:color w:val="FF0000"/>
          <w:szCs w:val="24"/>
        </w:rPr>
        <w:t>La giurisprudenza della Corte europea dei diritti dell'uomo in tema di riconoscimento delle coppie dello stesso sesso</w:t>
      </w:r>
      <w:r w:rsidRPr="004D153A">
        <w:rPr>
          <w:rFonts w:asciiTheme="minorHAnsi" w:hAnsiTheme="minorHAnsi"/>
          <w:color w:val="FF0000"/>
          <w:szCs w:val="24"/>
        </w:rPr>
        <w:t>.</w:t>
      </w:r>
    </w:p>
    <w:p w:rsidR="00E73C86" w:rsidRPr="004D153A" w:rsidRDefault="00E73C86" w:rsidP="00055F44">
      <w:pPr>
        <w:autoSpaceDE w:val="0"/>
        <w:autoSpaceDN w:val="0"/>
        <w:adjustRightInd w:val="0"/>
        <w:spacing w:after="0" w:line="276" w:lineRule="auto"/>
        <w:jc w:val="center"/>
        <w:rPr>
          <w:rFonts w:asciiTheme="minorHAnsi" w:hAnsiTheme="minorHAnsi"/>
          <w:color w:val="FF0000"/>
          <w:szCs w:val="24"/>
        </w:rPr>
      </w:pPr>
    </w:p>
    <w:p w:rsidR="007B31C3" w:rsidRPr="004D153A" w:rsidRDefault="007E7966" w:rsidP="00055F44">
      <w:pPr>
        <w:autoSpaceDE w:val="0"/>
        <w:autoSpaceDN w:val="0"/>
        <w:adjustRightInd w:val="0"/>
        <w:spacing w:after="0" w:line="276" w:lineRule="auto"/>
        <w:rPr>
          <w:rFonts w:asciiTheme="minorHAnsi" w:hAnsiTheme="minorHAnsi"/>
          <w:szCs w:val="24"/>
        </w:rPr>
      </w:pPr>
      <w:r>
        <w:rPr>
          <w:rFonts w:asciiTheme="minorHAnsi" w:hAnsiTheme="minorHAnsi"/>
          <w:szCs w:val="24"/>
        </w:rPr>
        <w:t>Le Corti italiane ed europee</w:t>
      </w:r>
      <w:r w:rsidR="007B31C3" w:rsidRPr="004D153A">
        <w:rPr>
          <w:rFonts w:asciiTheme="minorHAnsi" w:hAnsiTheme="minorHAnsi"/>
          <w:szCs w:val="24"/>
        </w:rPr>
        <w:t xml:space="preserve"> sono</w:t>
      </w:r>
      <w:r>
        <w:rPr>
          <w:rFonts w:asciiTheme="minorHAnsi" w:hAnsiTheme="minorHAnsi"/>
          <w:szCs w:val="24"/>
        </w:rPr>
        <w:t>,</w:t>
      </w:r>
      <w:r w:rsidR="007B31C3" w:rsidRPr="004D153A">
        <w:rPr>
          <w:rFonts w:asciiTheme="minorHAnsi" w:hAnsiTheme="minorHAnsi"/>
          <w:szCs w:val="24"/>
        </w:rPr>
        <w:t xml:space="preserve"> da anni</w:t>
      </w:r>
      <w:r>
        <w:rPr>
          <w:rFonts w:asciiTheme="minorHAnsi" w:hAnsiTheme="minorHAnsi"/>
          <w:szCs w:val="24"/>
        </w:rPr>
        <w:t>,</w:t>
      </w:r>
      <w:r w:rsidR="007B31C3" w:rsidRPr="004D153A">
        <w:rPr>
          <w:rFonts w:asciiTheme="minorHAnsi" w:hAnsiTheme="minorHAnsi"/>
          <w:szCs w:val="24"/>
        </w:rPr>
        <w:t xml:space="preserve"> destinatari</w:t>
      </w:r>
      <w:r>
        <w:rPr>
          <w:rFonts w:asciiTheme="minorHAnsi" w:hAnsiTheme="minorHAnsi"/>
          <w:szCs w:val="24"/>
        </w:rPr>
        <w:t>e</w:t>
      </w:r>
      <w:r w:rsidR="007B31C3" w:rsidRPr="004D153A">
        <w:rPr>
          <w:rFonts w:asciiTheme="minorHAnsi" w:hAnsiTheme="minorHAnsi"/>
          <w:szCs w:val="24"/>
        </w:rPr>
        <w:t xml:space="preserve"> di una richiesta di</w:t>
      </w:r>
      <w:r w:rsidR="00816AC0" w:rsidRPr="004D153A">
        <w:rPr>
          <w:rFonts w:asciiTheme="minorHAnsi" w:hAnsiTheme="minorHAnsi"/>
          <w:szCs w:val="24"/>
        </w:rPr>
        <w:t xml:space="preserve"> </w:t>
      </w:r>
      <w:r w:rsidR="007B31C3" w:rsidRPr="004D153A">
        <w:rPr>
          <w:rFonts w:asciiTheme="minorHAnsi" w:hAnsiTheme="minorHAnsi"/>
          <w:szCs w:val="24"/>
        </w:rPr>
        <w:t>riconoscimento formale da parte di</w:t>
      </w:r>
      <w:r w:rsidR="0056371C" w:rsidRPr="004D153A">
        <w:rPr>
          <w:rFonts w:asciiTheme="minorHAnsi" w:hAnsiTheme="minorHAnsi"/>
          <w:szCs w:val="24"/>
        </w:rPr>
        <w:t xml:space="preserve"> coppie del</w:t>
      </w:r>
      <w:r w:rsidR="00816AC0" w:rsidRPr="004D153A">
        <w:rPr>
          <w:rFonts w:asciiTheme="minorHAnsi" w:hAnsiTheme="minorHAnsi"/>
          <w:szCs w:val="24"/>
        </w:rPr>
        <w:t>lo stes</w:t>
      </w:r>
      <w:r w:rsidR="008640BF" w:rsidRPr="004D153A">
        <w:rPr>
          <w:rFonts w:asciiTheme="minorHAnsi" w:hAnsiTheme="minorHAnsi"/>
          <w:szCs w:val="24"/>
        </w:rPr>
        <w:t>s</w:t>
      </w:r>
      <w:r w:rsidR="00816AC0" w:rsidRPr="004D153A">
        <w:rPr>
          <w:rFonts w:asciiTheme="minorHAnsi" w:hAnsiTheme="minorHAnsi"/>
          <w:szCs w:val="24"/>
        </w:rPr>
        <w:t>o sess</w:t>
      </w:r>
      <w:r w:rsidR="0056371C" w:rsidRPr="004D153A">
        <w:rPr>
          <w:rFonts w:asciiTheme="minorHAnsi" w:hAnsiTheme="minorHAnsi"/>
          <w:szCs w:val="24"/>
        </w:rPr>
        <w:t>o</w:t>
      </w:r>
      <w:r>
        <w:rPr>
          <w:rFonts w:asciiTheme="minorHAnsi" w:hAnsiTheme="minorHAnsi"/>
          <w:szCs w:val="24"/>
        </w:rPr>
        <w:t>,</w:t>
      </w:r>
      <w:r w:rsidR="007B31C3" w:rsidRPr="004D153A">
        <w:rPr>
          <w:rFonts w:asciiTheme="minorHAnsi" w:hAnsiTheme="minorHAnsi"/>
          <w:szCs w:val="24"/>
        </w:rPr>
        <w:t xml:space="preserve"> </w:t>
      </w:r>
      <w:r w:rsidR="00121D20" w:rsidRPr="004D153A">
        <w:rPr>
          <w:rFonts w:asciiTheme="minorHAnsi" w:hAnsiTheme="minorHAnsi"/>
          <w:szCs w:val="24"/>
        </w:rPr>
        <w:t>alla luce delle tutele apprestate dall'articolo 8 della Convenzione EDU (</w:t>
      </w:r>
      <w:r w:rsidR="00121D20" w:rsidRPr="004D153A">
        <w:rPr>
          <w:rFonts w:asciiTheme="minorHAnsi" w:hAnsiTheme="minorHAnsi"/>
          <w:bCs/>
          <w:szCs w:val="24"/>
        </w:rPr>
        <w:t>Diritto al rispetto della vita privata e familiare)</w:t>
      </w:r>
      <w:r w:rsidR="00121D20" w:rsidRPr="004D153A">
        <w:rPr>
          <w:rFonts w:asciiTheme="minorHAnsi" w:hAnsiTheme="minorHAnsi"/>
          <w:szCs w:val="24"/>
        </w:rPr>
        <w:t xml:space="preserve">. </w:t>
      </w:r>
    </w:p>
    <w:p w:rsidR="007B31C3" w:rsidRPr="004D153A" w:rsidRDefault="007B31C3" w:rsidP="00055F44">
      <w:pPr>
        <w:autoSpaceDE w:val="0"/>
        <w:autoSpaceDN w:val="0"/>
        <w:adjustRightInd w:val="0"/>
        <w:spacing w:after="0" w:line="276" w:lineRule="auto"/>
        <w:rPr>
          <w:rFonts w:asciiTheme="minorHAnsi" w:hAnsiTheme="minorHAnsi"/>
          <w:szCs w:val="24"/>
        </w:rPr>
      </w:pPr>
      <w:r w:rsidRPr="004D153A">
        <w:rPr>
          <w:rFonts w:asciiTheme="minorHAnsi" w:hAnsiTheme="minorHAnsi"/>
          <w:szCs w:val="24"/>
        </w:rPr>
        <w:t>I cd. “</w:t>
      </w:r>
      <w:proofErr w:type="spellStart"/>
      <w:r w:rsidRPr="004D153A">
        <w:rPr>
          <w:rFonts w:asciiTheme="minorHAnsi" w:hAnsiTheme="minorHAnsi"/>
          <w:i/>
          <w:szCs w:val="24"/>
        </w:rPr>
        <w:t>claims</w:t>
      </w:r>
      <w:proofErr w:type="spellEnd"/>
      <w:r w:rsidRPr="004D153A">
        <w:rPr>
          <w:rFonts w:asciiTheme="minorHAnsi" w:hAnsiTheme="minorHAnsi"/>
          <w:i/>
          <w:szCs w:val="24"/>
        </w:rPr>
        <w:t xml:space="preserve"> </w:t>
      </w:r>
      <w:proofErr w:type="spellStart"/>
      <w:r w:rsidRPr="004D153A">
        <w:rPr>
          <w:rFonts w:asciiTheme="minorHAnsi" w:hAnsiTheme="minorHAnsi"/>
          <w:i/>
          <w:szCs w:val="24"/>
        </w:rPr>
        <w:t>for</w:t>
      </w:r>
      <w:proofErr w:type="spellEnd"/>
      <w:r w:rsidRPr="004D153A">
        <w:rPr>
          <w:rFonts w:asciiTheme="minorHAnsi" w:hAnsiTheme="minorHAnsi"/>
          <w:i/>
          <w:szCs w:val="24"/>
        </w:rPr>
        <w:t xml:space="preserve"> </w:t>
      </w:r>
      <w:proofErr w:type="spellStart"/>
      <w:r w:rsidRPr="004D153A">
        <w:rPr>
          <w:rFonts w:asciiTheme="minorHAnsi" w:hAnsiTheme="minorHAnsi"/>
          <w:i/>
          <w:szCs w:val="24"/>
        </w:rPr>
        <w:t>recognition</w:t>
      </w:r>
      <w:proofErr w:type="spellEnd"/>
      <w:r w:rsidRPr="004D153A">
        <w:rPr>
          <w:rFonts w:asciiTheme="minorHAnsi" w:hAnsiTheme="minorHAnsi"/>
          <w:szCs w:val="24"/>
        </w:rPr>
        <w:t xml:space="preserve">” trovano </w:t>
      </w:r>
      <w:r w:rsidR="003A7EDF" w:rsidRPr="004D153A">
        <w:rPr>
          <w:rFonts w:asciiTheme="minorHAnsi" w:hAnsiTheme="minorHAnsi"/>
          <w:szCs w:val="24"/>
        </w:rPr>
        <w:t>fondamento</w:t>
      </w:r>
      <w:r w:rsidRPr="004D153A">
        <w:rPr>
          <w:rFonts w:asciiTheme="minorHAnsi" w:hAnsiTheme="minorHAnsi"/>
          <w:szCs w:val="24"/>
        </w:rPr>
        <w:t xml:space="preserve"> nel paradigma dell’uguaglianza e della dignità umana, </w:t>
      </w:r>
      <w:r w:rsidR="007E7966">
        <w:rPr>
          <w:rFonts w:asciiTheme="minorHAnsi" w:hAnsiTheme="minorHAnsi"/>
          <w:szCs w:val="24"/>
        </w:rPr>
        <w:t>rispetto al quale</w:t>
      </w:r>
      <w:r w:rsidRPr="004D153A">
        <w:rPr>
          <w:rFonts w:asciiTheme="minorHAnsi" w:hAnsiTheme="minorHAnsi"/>
          <w:szCs w:val="24"/>
        </w:rPr>
        <w:t xml:space="preserve"> il diritto comunitario </w:t>
      </w:r>
      <w:r w:rsidR="00F1263D" w:rsidRPr="004D153A">
        <w:rPr>
          <w:rFonts w:asciiTheme="minorHAnsi" w:hAnsiTheme="minorHAnsi"/>
          <w:szCs w:val="24"/>
        </w:rPr>
        <w:t xml:space="preserve">si è mosso </w:t>
      </w:r>
      <w:r w:rsidR="00772136" w:rsidRPr="004D153A">
        <w:rPr>
          <w:rFonts w:asciiTheme="minorHAnsi" w:hAnsiTheme="minorHAnsi"/>
          <w:szCs w:val="24"/>
        </w:rPr>
        <w:t xml:space="preserve">in maniera inclusiva, </w:t>
      </w:r>
      <w:r w:rsidR="00F1263D" w:rsidRPr="004D153A">
        <w:rPr>
          <w:rFonts w:asciiTheme="minorHAnsi" w:hAnsiTheme="minorHAnsi"/>
          <w:szCs w:val="24"/>
        </w:rPr>
        <w:t xml:space="preserve">ampliando </w:t>
      </w:r>
      <w:r w:rsidRPr="004D153A">
        <w:rPr>
          <w:rFonts w:asciiTheme="minorHAnsi" w:hAnsiTheme="minorHAnsi"/>
          <w:szCs w:val="24"/>
        </w:rPr>
        <w:t xml:space="preserve">il concetto di universalità dei diritti fondamentali </w:t>
      </w:r>
      <w:r w:rsidR="00F1263D" w:rsidRPr="004D153A">
        <w:rPr>
          <w:rFonts w:asciiTheme="minorHAnsi" w:hAnsiTheme="minorHAnsi"/>
          <w:szCs w:val="24"/>
        </w:rPr>
        <w:t xml:space="preserve">di cui all'articolo </w:t>
      </w:r>
      <w:r w:rsidRPr="004D153A">
        <w:rPr>
          <w:rFonts w:asciiTheme="minorHAnsi" w:hAnsiTheme="minorHAnsi"/>
          <w:szCs w:val="24"/>
        </w:rPr>
        <w:t>1</w:t>
      </w:r>
      <w:r w:rsidR="00F1263D" w:rsidRPr="004D153A">
        <w:rPr>
          <w:rFonts w:asciiTheme="minorHAnsi" w:hAnsiTheme="minorHAnsi"/>
          <w:szCs w:val="24"/>
        </w:rPr>
        <w:t>4</w:t>
      </w:r>
      <w:r w:rsidRPr="004D153A">
        <w:rPr>
          <w:rFonts w:asciiTheme="minorHAnsi" w:hAnsiTheme="minorHAnsi"/>
          <w:szCs w:val="24"/>
        </w:rPr>
        <w:t xml:space="preserve">, </w:t>
      </w:r>
      <w:r w:rsidR="00F1263D" w:rsidRPr="004D153A">
        <w:rPr>
          <w:rFonts w:asciiTheme="minorHAnsi" w:hAnsiTheme="minorHAnsi"/>
          <w:szCs w:val="24"/>
        </w:rPr>
        <w:t>(</w:t>
      </w:r>
      <w:r w:rsidR="00045BF0" w:rsidRPr="004D153A">
        <w:rPr>
          <w:rFonts w:asciiTheme="minorHAnsi" w:hAnsiTheme="minorHAnsi"/>
          <w:szCs w:val="24"/>
        </w:rPr>
        <w:t>Divieto</w:t>
      </w:r>
      <w:r w:rsidR="00F1263D" w:rsidRPr="004D153A">
        <w:rPr>
          <w:rFonts w:asciiTheme="minorHAnsi" w:hAnsiTheme="minorHAnsi"/>
          <w:szCs w:val="24"/>
        </w:rPr>
        <w:t xml:space="preserve"> di </w:t>
      </w:r>
      <w:r w:rsidRPr="004D153A">
        <w:rPr>
          <w:rFonts w:asciiTheme="minorHAnsi" w:hAnsiTheme="minorHAnsi"/>
          <w:szCs w:val="24"/>
        </w:rPr>
        <w:t>discriminazione Carta dei diritti fondamentali dell’UE)</w:t>
      </w:r>
      <w:r w:rsidR="00AE1FCD" w:rsidRPr="004D153A">
        <w:rPr>
          <w:rStyle w:val="Rimandonotaapidipagina"/>
          <w:rFonts w:asciiTheme="minorHAnsi" w:hAnsiTheme="minorHAnsi"/>
          <w:szCs w:val="24"/>
        </w:rPr>
        <w:footnoteReference w:id="1"/>
      </w:r>
      <w:r w:rsidRPr="004D153A">
        <w:rPr>
          <w:rFonts w:asciiTheme="minorHAnsi" w:hAnsiTheme="minorHAnsi"/>
          <w:szCs w:val="24"/>
        </w:rPr>
        <w:t>.</w:t>
      </w:r>
    </w:p>
    <w:p w:rsidR="007B31C3" w:rsidRDefault="003A7EDF" w:rsidP="00055F44">
      <w:pPr>
        <w:autoSpaceDE w:val="0"/>
        <w:autoSpaceDN w:val="0"/>
        <w:adjustRightInd w:val="0"/>
        <w:spacing w:after="0" w:line="276" w:lineRule="auto"/>
        <w:rPr>
          <w:rFonts w:asciiTheme="minorHAnsi" w:hAnsiTheme="minorHAnsi"/>
          <w:szCs w:val="24"/>
        </w:rPr>
      </w:pPr>
      <w:r w:rsidRPr="004D153A">
        <w:rPr>
          <w:rFonts w:asciiTheme="minorHAnsi" w:hAnsiTheme="minorHAnsi"/>
          <w:szCs w:val="24"/>
        </w:rPr>
        <w:t>Come le recenti pronunce della Corte di Strasburgo  testimoniano</w:t>
      </w:r>
      <w:r w:rsidR="00A42E16" w:rsidRPr="004D153A">
        <w:rPr>
          <w:rFonts w:asciiTheme="minorHAnsi" w:hAnsiTheme="minorHAnsi"/>
          <w:szCs w:val="24"/>
        </w:rPr>
        <w:t>,</w:t>
      </w:r>
      <w:r w:rsidRPr="004D153A">
        <w:rPr>
          <w:rFonts w:asciiTheme="minorHAnsi" w:hAnsiTheme="minorHAnsi"/>
          <w:szCs w:val="24"/>
        </w:rPr>
        <w:t xml:space="preserve"> </w:t>
      </w:r>
      <w:r w:rsidR="007B31C3" w:rsidRPr="004D153A">
        <w:rPr>
          <w:rFonts w:asciiTheme="minorHAnsi" w:hAnsiTheme="minorHAnsi"/>
          <w:szCs w:val="24"/>
        </w:rPr>
        <w:t xml:space="preserve">il dibattito </w:t>
      </w:r>
      <w:r w:rsidR="00BF38D8" w:rsidRPr="004D153A">
        <w:rPr>
          <w:rFonts w:asciiTheme="minorHAnsi" w:hAnsiTheme="minorHAnsi"/>
          <w:szCs w:val="24"/>
        </w:rPr>
        <w:t xml:space="preserve">in materia di riconoscimento e tutela </w:t>
      </w:r>
      <w:r w:rsidR="008640BF" w:rsidRPr="004D153A">
        <w:rPr>
          <w:rFonts w:asciiTheme="minorHAnsi" w:hAnsiTheme="minorHAnsi"/>
          <w:szCs w:val="24"/>
        </w:rPr>
        <w:t xml:space="preserve">delle coppie dello stesso sesso </w:t>
      </w:r>
      <w:r w:rsidR="007B31C3" w:rsidRPr="004D153A">
        <w:rPr>
          <w:rFonts w:asciiTheme="minorHAnsi" w:hAnsiTheme="minorHAnsi"/>
          <w:szCs w:val="24"/>
        </w:rPr>
        <w:t xml:space="preserve">si </w:t>
      </w:r>
      <w:r w:rsidRPr="004D153A">
        <w:rPr>
          <w:rFonts w:asciiTheme="minorHAnsi" w:hAnsiTheme="minorHAnsi"/>
          <w:szCs w:val="24"/>
        </w:rPr>
        <w:t>è costantemente</w:t>
      </w:r>
      <w:r w:rsidR="007B31C3" w:rsidRPr="004D153A">
        <w:rPr>
          <w:rFonts w:asciiTheme="minorHAnsi" w:hAnsiTheme="minorHAnsi"/>
          <w:szCs w:val="24"/>
        </w:rPr>
        <w:t xml:space="preserve"> aggiorna</w:t>
      </w:r>
      <w:r w:rsidRPr="004D153A">
        <w:rPr>
          <w:rFonts w:asciiTheme="minorHAnsi" w:hAnsiTheme="minorHAnsi"/>
          <w:szCs w:val="24"/>
        </w:rPr>
        <w:t>to</w:t>
      </w:r>
      <w:r w:rsidR="007B31C3" w:rsidRPr="004D153A">
        <w:rPr>
          <w:rFonts w:asciiTheme="minorHAnsi" w:hAnsiTheme="minorHAnsi"/>
          <w:szCs w:val="24"/>
        </w:rPr>
        <w:t xml:space="preserve"> e sviluppa</w:t>
      </w:r>
      <w:r w:rsidRPr="004D153A">
        <w:rPr>
          <w:rFonts w:asciiTheme="minorHAnsi" w:hAnsiTheme="minorHAnsi"/>
          <w:szCs w:val="24"/>
        </w:rPr>
        <w:t xml:space="preserve">to a </w:t>
      </w:r>
      <w:r w:rsidR="007B31C3" w:rsidRPr="004D153A">
        <w:rPr>
          <w:rFonts w:asciiTheme="minorHAnsi" w:hAnsiTheme="minorHAnsi"/>
          <w:szCs w:val="24"/>
        </w:rPr>
        <w:t xml:space="preserve">più livelli di giurisdizione. </w:t>
      </w:r>
    </w:p>
    <w:p w:rsidR="00014CBE" w:rsidRPr="004D153A" w:rsidRDefault="00014CBE" w:rsidP="00055F44">
      <w:pPr>
        <w:autoSpaceDE w:val="0"/>
        <w:autoSpaceDN w:val="0"/>
        <w:adjustRightInd w:val="0"/>
        <w:spacing w:after="0" w:line="276" w:lineRule="auto"/>
        <w:rPr>
          <w:rFonts w:asciiTheme="minorHAnsi" w:hAnsiTheme="minorHAnsi"/>
          <w:strike/>
          <w:szCs w:val="24"/>
        </w:rPr>
      </w:pPr>
    </w:p>
    <w:p w:rsidR="002C3F9A" w:rsidRPr="004D153A" w:rsidRDefault="00071C67" w:rsidP="00055F44">
      <w:pPr>
        <w:autoSpaceDE w:val="0"/>
        <w:autoSpaceDN w:val="0"/>
        <w:adjustRightInd w:val="0"/>
        <w:spacing w:after="0" w:line="276" w:lineRule="auto"/>
        <w:rPr>
          <w:rFonts w:asciiTheme="minorHAnsi" w:hAnsiTheme="minorHAnsi"/>
          <w:szCs w:val="24"/>
        </w:rPr>
      </w:pPr>
      <w:r w:rsidRPr="004D153A">
        <w:rPr>
          <w:rFonts w:asciiTheme="minorHAnsi" w:hAnsiTheme="minorHAnsi"/>
          <w:szCs w:val="24"/>
        </w:rPr>
        <w:t>In tale</w:t>
      </w:r>
      <w:r w:rsidR="002C3F9A" w:rsidRPr="004D153A">
        <w:rPr>
          <w:rFonts w:asciiTheme="minorHAnsi" w:hAnsiTheme="minorHAnsi"/>
          <w:szCs w:val="24"/>
        </w:rPr>
        <w:t xml:space="preserve"> contesto</w:t>
      </w:r>
      <w:r w:rsidR="007E7966">
        <w:rPr>
          <w:rFonts w:asciiTheme="minorHAnsi" w:hAnsiTheme="minorHAnsi"/>
          <w:szCs w:val="24"/>
        </w:rPr>
        <w:t>,</w:t>
      </w:r>
      <w:r w:rsidR="002C3F9A" w:rsidRPr="004D153A">
        <w:rPr>
          <w:rFonts w:asciiTheme="minorHAnsi" w:hAnsiTheme="minorHAnsi"/>
          <w:szCs w:val="24"/>
        </w:rPr>
        <w:t xml:space="preserve"> la prima pronuncia in cui la Corte europea dei diritti del</w:t>
      </w:r>
      <w:r w:rsidR="006F3706" w:rsidRPr="004D153A">
        <w:rPr>
          <w:rFonts w:asciiTheme="minorHAnsi" w:hAnsiTheme="minorHAnsi"/>
          <w:szCs w:val="24"/>
        </w:rPr>
        <w:t>l'uomo s</w:t>
      </w:r>
      <w:r w:rsidR="00AE2B67" w:rsidRPr="004D153A">
        <w:rPr>
          <w:rFonts w:asciiTheme="minorHAnsi" w:hAnsiTheme="minorHAnsi"/>
          <w:szCs w:val="24"/>
        </w:rPr>
        <w:t xml:space="preserve">i è espressa in </w:t>
      </w:r>
      <w:r w:rsidR="006F3706" w:rsidRPr="004D153A">
        <w:rPr>
          <w:rFonts w:asciiTheme="minorHAnsi" w:hAnsiTheme="minorHAnsi"/>
          <w:szCs w:val="24"/>
        </w:rPr>
        <w:t>termini non ostativi rispetto al riconoscimento della condizione giuridica delle coppie dello stesso sesso</w:t>
      </w:r>
      <w:r w:rsidR="00AE2B67" w:rsidRPr="004D153A">
        <w:rPr>
          <w:rFonts w:asciiTheme="minorHAnsi" w:hAnsiTheme="minorHAnsi"/>
          <w:szCs w:val="24"/>
        </w:rPr>
        <w:t xml:space="preserve"> è stata la pronuncia resa sul caso </w:t>
      </w:r>
      <w:hyperlink r:id="rId8" w:anchor="{&quot;itemid&quot;:[&quot;001-99643&quot;]}" w:history="1">
        <w:proofErr w:type="spellStart"/>
        <w:r w:rsidR="003E2E79" w:rsidRPr="004D153A">
          <w:rPr>
            <w:rStyle w:val="Collegamentoipertestuale"/>
            <w:rFonts w:asciiTheme="minorHAnsi" w:hAnsiTheme="minorHAnsi"/>
            <w:i/>
            <w:szCs w:val="24"/>
          </w:rPr>
          <w:t>Schalk</w:t>
        </w:r>
        <w:proofErr w:type="spellEnd"/>
        <w:r w:rsidR="003E2E79" w:rsidRPr="004D153A">
          <w:rPr>
            <w:rStyle w:val="Collegamentoipertestuale"/>
            <w:rFonts w:asciiTheme="minorHAnsi" w:hAnsiTheme="minorHAnsi"/>
            <w:i/>
            <w:szCs w:val="24"/>
          </w:rPr>
          <w:t xml:space="preserve"> </w:t>
        </w:r>
        <w:proofErr w:type="spellStart"/>
        <w:r w:rsidR="003E2E79" w:rsidRPr="004D153A">
          <w:rPr>
            <w:rStyle w:val="Collegamentoipertestuale"/>
            <w:rFonts w:asciiTheme="minorHAnsi" w:hAnsiTheme="minorHAnsi"/>
            <w:i/>
            <w:szCs w:val="24"/>
          </w:rPr>
          <w:t>et</w:t>
        </w:r>
        <w:proofErr w:type="spellEnd"/>
        <w:r w:rsidR="003E2E79" w:rsidRPr="004D153A">
          <w:rPr>
            <w:rStyle w:val="Collegamentoipertestuale"/>
            <w:rFonts w:asciiTheme="minorHAnsi" w:hAnsiTheme="minorHAnsi"/>
            <w:i/>
            <w:szCs w:val="24"/>
          </w:rPr>
          <w:t xml:space="preserve"> </w:t>
        </w:r>
        <w:proofErr w:type="spellStart"/>
        <w:r w:rsidR="003E2E79" w:rsidRPr="004D153A">
          <w:rPr>
            <w:rStyle w:val="Collegamentoipertestuale"/>
            <w:rFonts w:asciiTheme="minorHAnsi" w:hAnsiTheme="minorHAnsi"/>
            <w:i/>
            <w:szCs w:val="24"/>
          </w:rPr>
          <w:t>Kopf</w:t>
        </w:r>
        <w:proofErr w:type="spellEnd"/>
        <w:r w:rsidR="003E2E79" w:rsidRPr="004D153A">
          <w:rPr>
            <w:rStyle w:val="Collegamentoipertestuale"/>
            <w:rFonts w:asciiTheme="minorHAnsi" w:hAnsiTheme="minorHAnsi"/>
            <w:i/>
            <w:szCs w:val="24"/>
          </w:rPr>
          <w:t xml:space="preserve"> c. Austria</w:t>
        </w:r>
      </w:hyperlink>
      <w:r w:rsidR="003E2E79" w:rsidRPr="004D153A">
        <w:rPr>
          <w:rFonts w:asciiTheme="minorHAnsi" w:hAnsiTheme="minorHAnsi"/>
          <w:szCs w:val="24"/>
        </w:rPr>
        <w:t xml:space="preserve"> </w:t>
      </w:r>
      <w:r w:rsidR="00AE2B67" w:rsidRPr="004D153A">
        <w:rPr>
          <w:rFonts w:asciiTheme="minorHAnsi" w:hAnsiTheme="minorHAnsi"/>
          <w:szCs w:val="24"/>
        </w:rPr>
        <w:t>deciso il 24</w:t>
      </w:r>
      <w:r w:rsidR="009C0555" w:rsidRPr="004D153A">
        <w:rPr>
          <w:rFonts w:asciiTheme="minorHAnsi" w:hAnsiTheme="minorHAnsi"/>
          <w:szCs w:val="24"/>
        </w:rPr>
        <w:t xml:space="preserve"> giugno 2010 (n. ric. 30141/04).</w:t>
      </w:r>
    </w:p>
    <w:p w:rsidR="004D153A" w:rsidRDefault="00E443CD" w:rsidP="00055F44">
      <w:pPr>
        <w:spacing w:after="0" w:line="276" w:lineRule="auto"/>
        <w:rPr>
          <w:rFonts w:asciiTheme="minorHAnsi" w:hAnsiTheme="minorHAnsi"/>
          <w:szCs w:val="24"/>
        </w:rPr>
      </w:pPr>
      <w:r w:rsidRPr="004D153A">
        <w:rPr>
          <w:rFonts w:asciiTheme="minorHAnsi" w:hAnsiTheme="minorHAnsi"/>
          <w:szCs w:val="24"/>
        </w:rPr>
        <w:t>Il caso traeva origine dal ricorso presentato da una coppia di cittadini austriaci dello stesso sesso, che lamentava la violazione dell'articolo 8 della CEDU in combinato disposto con gli articoli 14 e 12</w:t>
      </w:r>
      <w:r w:rsidR="00C31C50" w:rsidRPr="004D153A">
        <w:rPr>
          <w:rFonts w:asciiTheme="minorHAnsi" w:hAnsiTheme="minorHAnsi"/>
          <w:szCs w:val="24"/>
        </w:rPr>
        <w:t xml:space="preserve"> (Diritto al matrimonio)</w:t>
      </w:r>
      <w:r w:rsidRPr="004D153A">
        <w:rPr>
          <w:rFonts w:asciiTheme="minorHAnsi" w:hAnsiTheme="minorHAnsi"/>
          <w:szCs w:val="24"/>
        </w:rPr>
        <w:t xml:space="preserve"> a fronte dell'impossibilità per la coppia di contrarre matrimonio nel loro paese di origine.</w:t>
      </w:r>
    </w:p>
    <w:p w:rsidR="004D153A" w:rsidRDefault="004D153A" w:rsidP="00055F44">
      <w:pPr>
        <w:spacing w:after="0" w:line="276" w:lineRule="auto"/>
        <w:rPr>
          <w:rFonts w:asciiTheme="minorHAnsi" w:hAnsiTheme="minorHAnsi"/>
          <w:szCs w:val="24"/>
        </w:rPr>
      </w:pPr>
    </w:p>
    <w:p w:rsidR="00E97EFD" w:rsidRPr="004D153A" w:rsidRDefault="00492BAA" w:rsidP="00055F44">
      <w:pPr>
        <w:spacing w:after="0" w:line="276" w:lineRule="auto"/>
        <w:rPr>
          <w:rFonts w:asciiTheme="minorHAnsi" w:eastAsia="Times New Roman" w:hAnsiTheme="minorHAnsi"/>
          <w:szCs w:val="24"/>
          <w:lang w:eastAsia="it-IT"/>
        </w:rPr>
      </w:pPr>
      <w:r w:rsidRPr="004D153A">
        <w:rPr>
          <w:rFonts w:asciiTheme="minorHAnsi" w:hAnsiTheme="minorHAnsi"/>
          <w:szCs w:val="24"/>
        </w:rPr>
        <w:t xml:space="preserve">La Corte, pur negando le violazioni lamentate dai ricorrenti, a fronte delle sopravvenute evoluzioni dei contesti sociali dei </w:t>
      </w:r>
      <w:r w:rsidR="007E7966">
        <w:rPr>
          <w:rFonts w:asciiTheme="minorHAnsi" w:hAnsiTheme="minorHAnsi"/>
          <w:szCs w:val="24"/>
        </w:rPr>
        <w:t xml:space="preserve">diversi </w:t>
      </w:r>
      <w:r w:rsidRPr="004D153A">
        <w:rPr>
          <w:rFonts w:asciiTheme="minorHAnsi" w:hAnsiTheme="minorHAnsi"/>
          <w:szCs w:val="24"/>
        </w:rPr>
        <w:t>Paesi europei</w:t>
      </w:r>
      <w:r w:rsidR="00C20947" w:rsidRPr="004D153A">
        <w:rPr>
          <w:rFonts w:asciiTheme="minorHAnsi" w:hAnsiTheme="minorHAnsi"/>
          <w:szCs w:val="24"/>
        </w:rPr>
        <w:t>,</w:t>
      </w:r>
      <w:r w:rsidR="00822242" w:rsidRPr="004D153A">
        <w:rPr>
          <w:rFonts w:asciiTheme="minorHAnsi" w:hAnsiTheme="minorHAnsi"/>
          <w:szCs w:val="24"/>
        </w:rPr>
        <w:t xml:space="preserve"> </w:t>
      </w:r>
      <w:r w:rsidR="007E7966">
        <w:rPr>
          <w:rFonts w:asciiTheme="minorHAnsi" w:hAnsiTheme="minorHAnsi"/>
          <w:szCs w:val="24"/>
        </w:rPr>
        <w:t>riconosce al</w:t>
      </w:r>
      <w:r w:rsidR="00822242" w:rsidRPr="004D153A">
        <w:rPr>
          <w:rFonts w:asciiTheme="minorHAnsi" w:hAnsiTheme="minorHAnsi"/>
          <w:szCs w:val="24"/>
        </w:rPr>
        <w:t xml:space="preserve">le coppie dello stesso sesso </w:t>
      </w:r>
      <w:r w:rsidR="007E7966">
        <w:rPr>
          <w:rFonts w:asciiTheme="minorHAnsi" w:hAnsiTheme="minorHAnsi"/>
          <w:szCs w:val="24"/>
        </w:rPr>
        <w:t>il diritto a godere, oltre che del</w:t>
      </w:r>
      <w:r w:rsidR="00822242" w:rsidRPr="004D153A">
        <w:rPr>
          <w:rFonts w:asciiTheme="minorHAnsi" w:hAnsiTheme="minorHAnsi"/>
          <w:szCs w:val="24"/>
        </w:rPr>
        <w:t xml:space="preserve"> rispetto della vita privata</w:t>
      </w:r>
      <w:r w:rsidR="007E7966">
        <w:rPr>
          <w:rFonts w:asciiTheme="minorHAnsi" w:hAnsiTheme="minorHAnsi"/>
          <w:szCs w:val="24"/>
        </w:rPr>
        <w:t>, del</w:t>
      </w:r>
      <w:r w:rsidR="00822242" w:rsidRPr="004D153A">
        <w:rPr>
          <w:rFonts w:asciiTheme="minorHAnsi" w:hAnsiTheme="minorHAnsi"/>
          <w:szCs w:val="24"/>
        </w:rPr>
        <w:t xml:space="preserve"> rispetto della vita familiare</w:t>
      </w:r>
      <w:r w:rsidR="00C31C50" w:rsidRPr="004D153A">
        <w:rPr>
          <w:rFonts w:asciiTheme="minorHAnsi" w:hAnsiTheme="minorHAnsi"/>
          <w:szCs w:val="24"/>
        </w:rPr>
        <w:t xml:space="preserve"> ex articolo 8 della CEDU</w:t>
      </w:r>
      <w:r w:rsidR="00822242" w:rsidRPr="004D153A">
        <w:rPr>
          <w:rFonts w:asciiTheme="minorHAnsi" w:hAnsiTheme="minorHAnsi"/>
          <w:szCs w:val="24"/>
        </w:rPr>
        <w:t>.</w:t>
      </w:r>
    </w:p>
    <w:p w:rsidR="009516C9" w:rsidRDefault="009516C9" w:rsidP="00055F44">
      <w:pPr>
        <w:spacing w:after="0" w:line="276" w:lineRule="auto"/>
        <w:rPr>
          <w:rFonts w:asciiTheme="minorHAnsi" w:eastAsia="Times New Roman" w:hAnsiTheme="minorHAnsi"/>
          <w:szCs w:val="24"/>
          <w:lang w:eastAsia="it-IT"/>
        </w:rPr>
      </w:pPr>
    </w:p>
    <w:p w:rsidR="00A22568" w:rsidRDefault="00A22568" w:rsidP="00055F44">
      <w:pPr>
        <w:spacing w:after="0" w:line="276" w:lineRule="auto"/>
        <w:rPr>
          <w:rFonts w:asciiTheme="minorHAnsi" w:eastAsia="Times New Roman" w:hAnsiTheme="minorHAnsi"/>
          <w:szCs w:val="24"/>
          <w:lang w:eastAsia="it-IT"/>
        </w:rPr>
      </w:pPr>
    </w:p>
    <w:p w:rsidR="00772136" w:rsidRPr="004D153A" w:rsidRDefault="001F4A14" w:rsidP="00055F44">
      <w:pPr>
        <w:spacing w:after="0" w:line="276" w:lineRule="auto"/>
        <w:rPr>
          <w:rFonts w:asciiTheme="minorHAnsi" w:eastAsia="Times New Roman" w:hAnsiTheme="minorHAnsi"/>
          <w:szCs w:val="24"/>
          <w:lang w:eastAsia="it-IT"/>
        </w:rPr>
      </w:pPr>
      <w:r w:rsidRPr="004D153A">
        <w:rPr>
          <w:rFonts w:asciiTheme="minorHAnsi" w:eastAsia="Times New Roman" w:hAnsiTheme="minorHAnsi"/>
          <w:szCs w:val="24"/>
          <w:lang w:eastAsia="it-IT"/>
        </w:rPr>
        <w:t>Pertanto</w:t>
      </w:r>
      <w:r w:rsidR="0072489B" w:rsidRPr="004D153A">
        <w:rPr>
          <w:rFonts w:asciiTheme="minorHAnsi" w:eastAsia="Times New Roman" w:hAnsiTheme="minorHAnsi"/>
          <w:szCs w:val="24"/>
          <w:lang w:eastAsia="it-IT"/>
        </w:rPr>
        <w:t xml:space="preserve">, la Corte europea dei diritti dell'uomo, </w:t>
      </w:r>
      <w:r w:rsidRPr="004D153A">
        <w:rPr>
          <w:rFonts w:asciiTheme="minorHAnsi" w:eastAsia="Times New Roman" w:hAnsiTheme="minorHAnsi"/>
          <w:szCs w:val="24"/>
          <w:lang w:eastAsia="it-IT"/>
        </w:rPr>
        <w:t>dopo aver ripercorso la sua giurisprudenza pregressa, per la prima volta stabilisce che la relazione affettiva, stabilmente costituit</w:t>
      </w:r>
      <w:r w:rsidR="0052719B" w:rsidRPr="004D153A">
        <w:rPr>
          <w:rFonts w:asciiTheme="minorHAnsi" w:eastAsia="Times New Roman" w:hAnsiTheme="minorHAnsi"/>
          <w:szCs w:val="24"/>
          <w:lang w:eastAsia="it-IT"/>
        </w:rPr>
        <w:t>a</w:t>
      </w:r>
      <w:r w:rsidRPr="004D153A">
        <w:rPr>
          <w:rFonts w:asciiTheme="minorHAnsi" w:eastAsia="Times New Roman" w:hAnsiTheme="minorHAnsi"/>
          <w:szCs w:val="24"/>
          <w:lang w:eastAsia="it-IT"/>
        </w:rPr>
        <w:t xml:space="preserve"> tra persone</w:t>
      </w:r>
      <w:r w:rsidR="001F2702" w:rsidRPr="004D153A">
        <w:rPr>
          <w:rFonts w:asciiTheme="minorHAnsi" w:eastAsia="Times New Roman" w:hAnsiTheme="minorHAnsi"/>
          <w:szCs w:val="24"/>
          <w:lang w:eastAsia="it-IT"/>
        </w:rPr>
        <w:t xml:space="preserve"> </w:t>
      </w:r>
      <w:r w:rsidRPr="004D153A">
        <w:rPr>
          <w:rFonts w:asciiTheme="minorHAnsi" w:eastAsia="Times New Roman" w:hAnsiTheme="minorHAnsi"/>
          <w:szCs w:val="24"/>
          <w:lang w:eastAsia="it-IT"/>
        </w:rPr>
        <w:t xml:space="preserve">dello stesso sesso, </w:t>
      </w:r>
      <w:r w:rsidR="0052719B" w:rsidRPr="004D153A">
        <w:rPr>
          <w:rFonts w:asciiTheme="minorHAnsi" w:eastAsia="Times New Roman" w:hAnsiTheme="minorHAnsi"/>
          <w:szCs w:val="24"/>
          <w:lang w:eastAsia="it-IT"/>
        </w:rPr>
        <w:t xml:space="preserve"> rientri nella sfera della "vita familiare" al pari di una convivenza tra uomo e donna, </w:t>
      </w:r>
      <w:r w:rsidR="00C87D16">
        <w:rPr>
          <w:rFonts w:asciiTheme="minorHAnsi" w:eastAsia="Times New Roman" w:hAnsiTheme="minorHAnsi"/>
          <w:szCs w:val="24"/>
          <w:lang w:eastAsia="it-IT"/>
        </w:rPr>
        <w:t>ma</w:t>
      </w:r>
      <w:r w:rsidR="002D144D" w:rsidRPr="004D153A">
        <w:rPr>
          <w:rFonts w:asciiTheme="minorHAnsi" w:eastAsia="Times New Roman" w:hAnsiTheme="minorHAnsi"/>
          <w:szCs w:val="24"/>
          <w:lang w:eastAsia="it-IT"/>
        </w:rPr>
        <w:t xml:space="preserve"> rimettendo ogni decisione</w:t>
      </w:r>
      <w:r w:rsidR="00F21D41" w:rsidRPr="004D153A">
        <w:rPr>
          <w:rFonts w:asciiTheme="minorHAnsi" w:eastAsia="Times New Roman" w:hAnsiTheme="minorHAnsi"/>
          <w:szCs w:val="24"/>
          <w:lang w:eastAsia="it-IT"/>
        </w:rPr>
        <w:t xml:space="preserve"> in merito</w:t>
      </w:r>
      <w:r w:rsidR="00945CF4" w:rsidRPr="004D153A">
        <w:rPr>
          <w:rFonts w:asciiTheme="minorHAnsi" w:eastAsia="Times New Roman" w:hAnsiTheme="minorHAnsi"/>
          <w:szCs w:val="24"/>
          <w:lang w:eastAsia="it-IT"/>
        </w:rPr>
        <w:t xml:space="preserve"> al riconoscimento giuridico e alle forme di tutela</w:t>
      </w:r>
      <w:r w:rsidR="00F21D41" w:rsidRPr="004D153A">
        <w:rPr>
          <w:rFonts w:asciiTheme="minorHAnsi" w:eastAsia="Times New Roman" w:hAnsiTheme="minorHAnsi"/>
          <w:szCs w:val="24"/>
          <w:lang w:eastAsia="it-IT"/>
        </w:rPr>
        <w:t xml:space="preserve"> alla discrezionalità </w:t>
      </w:r>
      <w:r w:rsidR="002D144D" w:rsidRPr="004D153A">
        <w:rPr>
          <w:rFonts w:asciiTheme="minorHAnsi" w:eastAsia="Times New Roman" w:hAnsiTheme="minorHAnsi"/>
          <w:szCs w:val="24"/>
          <w:lang w:eastAsia="it-IT"/>
        </w:rPr>
        <w:t>degli Stati contraenti.</w:t>
      </w:r>
    </w:p>
    <w:p w:rsidR="001937F0" w:rsidRPr="004D153A" w:rsidRDefault="001937F0" w:rsidP="00055F44">
      <w:pPr>
        <w:spacing w:after="0" w:line="276" w:lineRule="auto"/>
        <w:rPr>
          <w:rFonts w:asciiTheme="minorHAnsi" w:eastAsia="Times New Roman" w:hAnsiTheme="minorHAnsi"/>
          <w:szCs w:val="24"/>
          <w:lang w:eastAsia="it-IT"/>
        </w:rPr>
      </w:pPr>
    </w:p>
    <w:p w:rsidR="00342E4A" w:rsidRPr="004D153A" w:rsidRDefault="002D144D" w:rsidP="00055F44">
      <w:pPr>
        <w:spacing w:after="0" w:line="276" w:lineRule="auto"/>
        <w:rPr>
          <w:rFonts w:asciiTheme="minorHAnsi" w:eastAsia="Times New Roman" w:hAnsiTheme="minorHAnsi"/>
          <w:szCs w:val="24"/>
          <w:lang w:eastAsia="it-IT"/>
        </w:rPr>
      </w:pPr>
      <w:r w:rsidRPr="004D153A">
        <w:rPr>
          <w:rFonts w:asciiTheme="minorHAnsi" w:eastAsia="Times New Roman" w:hAnsiTheme="minorHAnsi"/>
          <w:szCs w:val="24"/>
          <w:lang w:eastAsia="it-IT"/>
        </w:rPr>
        <w:t xml:space="preserve">Successivamente, </w:t>
      </w:r>
      <w:r w:rsidR="00505401" w:rsidRPr="004D153A">
        <w:rPr>
          <w:rFonts w:asciiTheme="minorHAnsi" w:eastAsia="Times New Roman" w:hAnsiTheme="minorHAnsi"/>
          <w:szCs w:val="24"/>
          <w:lang w:eastAsia="it-IT"/>
        </w:rPr>
        <w:t>c</w:t>
      </w:r>
      <w:r w:rsidRPr="004D153A">
        <w:rPr>
          <w:rFonts w:asciiTheme="minorHAnsi" w:eastAsia="Times New Roman" w:hAnsiTheme="minorHAnsi"/>
          <w:szCs w:val="24"/>
          <w:lang w:eastAsia="it-IT"/>
        </w:rPr>
        <w:t xml:space="preserve">on la pronuncia, </w:t>
      </w:r>
      <w:hyperlink r:id="rId9" w:anchor="{&quot;itemid&quot;:[&quot;001-128294&quot;]}" w:history="1">
        <w:proofErr w:type="spellStart"/>
        <w:r w:rsidR="007506C6" w:rsidRPr="004D153A">
          <w:rPr>
            <w:rStyle w:val="Collegamentoipertestuale"/>
            <w:rFonts w:asciiTheme="minorHAnsi" w:eastAsia="Times New Roman" w:hAnsiTheme="minorHAnsi"/>
            <w:i/>
            <w:szCs w:val="24"/>
            <w:lang w:eastAsia="it-IT"/>
          </w:rPr>
          <w:t>Vallianatos</w:t>
        </w:r>
        <w:proofErr w:type="spellEnd"/>
        <w:r w:rsidR="007506C6" w:rsidRPr="004D153A">
          <w:rPr>
            <w:rStyle w:val="Collegamentoipertestuale"/>
            <w:rFonts w:asciiTheme="minorHAnsi" w:eastAsia="Times New Roman" w:hAnsiTheme="minorHAnsi"/>
            <w:i/>
            <w:szCs w:val="24"/>
            <w:lang w:eastAsia="it-IT"/>
          </w:rPr>
          <w:t xml:space="preserve"> e altri c. Grecia</w:t>
        </w:r>
      </w:hyperlink>
      <w:r w:rsidR="007506C6" w:rsidRPr="004D153A">
        <w:rPr>
          <w:rFonts w:asciiTheme="minorHAnsi" w:eastAsia="Times New Roman" w:hAnsiTheme="minorHAnsi"/>
          <w:szCs w:val="24"/>
          <w:lang w:eastAsia="it-IT"/>
        </w:rPr>
        <w:t xml:space="preserve"> </w:t>
      </w:r>
      <w:r w:rsidR="00DC3012" w:rsidRPr="004D153A">
        <w:rPr>
          <w:rFonts w:asciiTheme="minorHAnsi" w:eastAsia="Times New Roman" w:hAnsiTheme="minorHAnsi"/>
          <w:szCs w:val="24"/>
          <w:lang w:eastAsia="it-IT"/>
        </w:rPr>
        <w:t>(ric. N. 29381/09 e n. 32684/09)</w:t>
      </w:r>
      <w:hyperlink r:id="rId10" w:history="1">
        <w:r w:rsidRPr="004D153A">
          <w:rPr>
            <w:rFonts w:asciiTheme="minorHAnsi" w:eastAsia="Times New Roman" w:hAnsiTheme="minorHAnsi"/>
            <w:szCs w:val="24"/>
            <w:lang w:eastAsia="it-IT"/>
          </w:rPr>
          <w:t xml:space="preserve">, </w:t>
        </w:r>
        <w:r w:rsidR="00505401" w:rsidRPr="004D153A">
          <w:rPr>
            <w:rFonts w:asciiTheme="minorHAnsi" w:eastAsia="Times New Roman" w:hAnsiTheme="minorHAnsi"/>
            <w:szCs w:val="24"/>
            <w:lang w:eastAsia="it-IT"/>
          </w:rPr>
          <w:t xml:space="preserve">del </w:t>
        </w:r>
        <w:r w:rsidRPr="004D153A">
          <w:rPr>
            <w:rFonts w:asciiTheme="minorHAnsi" w:eastAsia="Times New Roman" w:hAnsiTheme="minorHAnsi"/>
            <w:szCs w:val="24"/>
            <w:lang w:eastAsia="it-IT"/>
          </w:rPr>
          <w:t>7 novembre 2013</w:t>
        </w:r>
      </w:hyperlink>
      <w:r w:rsidRPr="004D153A">
        <w:rPr>
          <w:rFonts w:asciiTheme="minorHAnsi" w:eastAsia="Times New Roman" w:hAnsiTheme="minorHAnsi"/>
          <w:szCs w:val="24"/>
          <w:lang w:eastAsia="it-IT"/>
        </w:rPr>
        <w:t>, la Grande Chambre della Corte EDU ha giudicato in contrasto con gli articoli 14 e 8 della Convenzione EDU la normativa, introdotta in Grecia con legge n.</w:t>
      </w:r>
      <w:r w:rsidR="00505401" w:rsidRPr="004D153A">
        <w:rPr>
          <w:rFonts w:asciiTheme="minorHAnsi" w:eastAsia="Times New Roman" w:hAnsiTheme="minorHAnsi"/>
          <w:szCs w:val="24"/>
          <w:lang w:eastAsia="it-IT"/>
        </w:rPr>
        <w:t xml:space="preserve"> </w:t>
      </w:r>
      <w:r w:rsidRPr="004D153A">
        <w:rPr>
          <w:rFonts w:asciiTheme="minorHAnsi" w:eastAsia="Times New Roman" w:hAnsiTheme="minorHAnsi"/>
          <w:szCs w:val="24"/>
          <w:lang w:eastAsia="it-IT"/>
        </w:rPr>
        <w:t xml:space="preserve">3719/2008 denominata “Riforme concernenti la </w:t>
      </w:r>
      <w:r w:rsidR="00505401" w:rsidRPr="004D153A">
        <w:rPr>
          <w:rFonts w:asciiTheme="minorHAnsi" w:eastAsia="Times New Roman" w:hAnsiTheme="minorHAnsi"/>
          <w:szCs w:val="24"/>
          <w:lang w:eastAsia="it-IT"/>
        </w:rPr>
        <w:t xml:space="preserve">famiglia, i figli e la società”, </w:t>
      </w:r>
      <w:r w:rsidR="00C87D16">
        <w:rPr>
          <w:rFonts w:asciiTheme="minorHAnsi" w:eastAsia="Times New Roman" w:hAnsiTheme="minorHAnsi"/>
          <w:szCs w:val="24"/>
          <w:lang w:eastAsia="it-IT"/>
        </w:rPr>
        <w:t>istitutiva del</w:t>
      </w:r>
      <w:r w:rsidRPr="004D153A">
        <w:rPr>
          <w:rFonts w:asciiTheme="minorHAnsi" w:eastAsia="Times New Roman" w:hAnsiTheme="minorHAnsi"/>
          <w:szCs w:val="24"/>
          <w:lang w:eastAsia="it-IT"/>
        </w:rPr>
        <w:t>la possibilità di contrarre unioni civili, riservandola</w:t>
      </w:r>
      <w:r w:rsidR="00505401" w:rsidRPr="004D153A">
        <w:rPr>
          <w:rFonts w:asciiTheme="minorHAnsi" w:eastAsia="Times New Roman" w:hAnsiTheme="minorHAnsi"/>
          <w:szCs w:val="24"/>
          <w:lang w:eastAsia="it-IT"/>
        </w:rPr>
        <w:t>,</w:t>
      </w:r>
      <w:r w:rsidRPr="004D153A">
        <w:rPr>
          <w:rFonts w:asciiTheme="minorHAnsi" w:eastAsia="Times New Roman" w:hAnsiTheme="minorHAnsi"/>
          <w:szCs w:val="24"/>
          <w:lang w:eastAsia="it-IT"/>
        </w:rPr>
        <w:t xml:space="preserve"> tuttavia esclusivamente a persone di sesso diverso</w:t>
      </w:r>
      <w:r w:rsidR="001E73D4" w:rsidRPr="004D153A">
        <w:rPr>
          <w:rFonts w:asciiTheme="minorHAnsi" w:eastAsia="Times New Roman" w:hAnsiTheme="minorHAnsi"/>
          <w:szCs w:val="24"/>
          <w:lang w:eastAsia="it-IT"/>
        </w:rPr>
        <w:t>.</w:t>
      </w:r>
      <w:r w:rsidRPr="004D153A">
        <w:rPr>
          <w:rFonts w:asciiTheme="minorHAnsi" w:eastAsia="Times New Roman" w:hAnsiTheme="minorHAnsi"/>
          <w:szCs w:val="24"/>
          <w:lang w:eastAsia="it-IT"/>
        </w:rPr>
        <w:t xml:space="preserve"> </w:t>
      </w:r>
    </w:p>
    <w:p w:rsidR="004777FA" w:rsidRPr="004D153A" w:rsidRDefault="004777FA" w:rsidP="00055F44">
      <w:pPr>
        <w:spacing w:after="0" w:line="276" w:lineRule="auto"/>
        <w:rPr>
          <w:rFonts w:asciiTheme="minorHAnsi" w:eastAsia="Times New Roman" w:hAnsiTheme="minorHAnsi"/>
          <w:szCs w:val="24"/>
          <w:lang w:eastAsia="it-IT"/>
        </w:rPr>
      </w:pPr>
    </w:p>
    <w:p w:rsidR="00342E4A" w:rsidRPr="004D153A" w:rsidRDefault="004640BC" w:rsidP="00055F44">
      <w:pPr>
        <w:spacing w:after="0" w:line="276" w:lineRule="auto"/>
        <w:rPr>
          <w:rFonts w:asciiTheme="minorHAnsi" w:hAnsiTheme="minorHAnsi"/>
          <w:i/>
          <w:szCs w:val="24"/>
        </w:rPr>
      </w:pPr>
      <w:r w:rsidRPr="004D153A">
        <w:rPr>
          <w:rFonts w:asciiTheme="minorHAnsi" w:eastAsia="Times New Roman" w:hAnsiTheme="minorHAnsi"/>
          <w:szCs w:val="24"/>
          <w:lang w:eastAsia="it-IT"/>
        </w:rPr>
        <w:t>In merito alla giurisprudenza comunitaria</w:t>
      </w:r>
      <w:r w:rsidR="00342E4A" w:rsidRPr="004D153A">
        <w:rPr>
          <w:rFonts w:asciiTheme="minorHAnsi" w:eastAsia="Times New Roman" w:hAnsiTheme="minorHAnsi"/>
          <w:szCs w:val="24"/>
          <w:lang w:eastAsia="it-IT"/>
        </w:rPr>
        <w:t>, occorre menzionare la recente pronuncia della Corte di Strasburgo, che i</w:t>
      </w:r>
      <w:r w:rsidR="00342E4A" w:rsidRPr="004D153A">
        <w:rPr>
          <w:rFonts w:asciiTheme="minorHAnsi" w:hAnsiTheme="minorHAnsi"/>
          <w:szCs w:val="24"/>
        </w:rPr>
        <w:t xml:space="preserve">l 21 luglio 2015, nell'ambito del caso </w:t>
      </w:r>
      <w:r w:rsidR="00E918BE">
        <w:rPr>
          <w:rFonts w:asciiTheme="minorHAnsi" w:hAnsiTheme="minorHAnsi"/>
          <w:szCs w:val="24"/>
        </w:rPr>
        <w:t xml:space="preserve"> </w:t>
      </w:r>
      <w:hyperlink r:id="rId11" w:anchor="{&quot;itemid&quot;:[&quot;001-156265&quot;]}" w:history="1">
        <w:r w:rsidR="00E918BE" w:rsidRPr="00136AE1">
          <w:rPr>
            <w:rStyle w:val="Collegamentoipertestuale"/>
            <w:rFonts w:asciiTheme="minorHAnsi" w:hAnsiTheme="minorHAnsi"/>
            <w:i/>
            <w:szCs w:val="24"/>
          </w:rPr>
          <w:t>Oliari e altri c. I</w:t>
        </w:r>
        <w:r w:rsidR="00136AE1" w:rsidRPr="00136AE1">
          <w:rPr>
            <w:rStyle w:val="Collegamentoipertestuale"/>
            <w:rFonts w:asciiTheme="minorHAnsi" w:hAnsiTheme="minorHAnsi"/>
            <w:i/>
            <w:szCs w:val="24"/>
          </w:rPr>
          <w:t>talia</w:t>
        </w:r>
      </w:hyperlink>
      <w:r w:rsidR="00136AE1">
        <w:rPr>
          <w:rFonts w:asciiTheme="minorHAnsi" w:hAnsiTheme="minorHAnsi"/>
          <w:szCs w:val="24"/>
        </w:rPr>
        <w:t xml:space="preserve"> </w:t>
      </w:r>
      <w:r w:rsidR="00346F80" w:rsidRPr="00346F80">
        <w:rPr>
          <w:rFonts w:asciiTheme="minorHAnsi" w:eastAsia="Times New Roman" w:hAnsiTheme="minorHAnsi"/>
          <w:iCs/>
          <w:szCs w:val="24"/>
          <w:lang w:eastAsia="it-IT"/>
        </w:rPr>
        <w:t xml:space="preserve">(ric. </w:t>
      </w:r>
      <w:proofErr w:type="spellStart"/>
      <w:r w:rsidR="00346F80" w:rsidRPr="00346F80">
        <w:rPr>
          <w:rFonts w:asciiTheme="minorHAnsi" w:eastAsia="Times New Roman" w:hAnsiTheme="minorHAnsi"/>
          <w:iCs/>
          <w:szCs w:val="24"/>
          <w:lang w:eastAsia="it-IT"/>
        </w:rPr>
        <w:t>nn</w:t>
      </w:r>
      <w:proofErr w:type="spellEnd"/>
      <w:r w:rsidR="00346F80" w:rsidRPr="00346F80">
        <w:rPr>
          <w:rFonts w:asciiTheme="minorHAnsi" w:eastAsia="Times New Roman" w:hAnsiTheme="minorHAnsi"/>
          <w:iCs/>
          <w:szCs w:val="24"/>
          <w:lang w:eastAsia="it-IT"/>
        </w:rPr>
        <w:t>. 18766/11 e 36030/11)</w:t>
      </w:r>
      <w:r w:rsidR="00342E4A" w:rsidRPr="004D153A">
        <w:rPr>
          <w:rFonts w:asciiTheme="minorHAnsi" w:hAnsiTheme="minorHAnsi"/>
          <w:szCs w:val="24"/>
        </w:rPr>
        <w:t>, ha condannato il nostro Paese per la violazione dell'articolo 8 della Conven</w:t>
      </w:r>
      <w:r w:rsidR="00233F82" w:rsidRPr="004D153A">
        <w:rPr>
          <w:rFonts w:asciiTheme="minorHAnsi" w:hAnsiTheme="minorHAnsi"/>
          <w:szCs w:val="24"/>
        </w:rPr>
        <w:t>zione europea dei diritti umani.</w:t>
      </w:r>
    </w:p>
    <w:p w:rsidR="006A2639" w:rsidRDefault="00233F82" w:rsidP="00055F44">
      <w:pPr>
        <w:spacing w:after="0" w:line="276" w:lineRule="auto"/>
        <w:rPr>
          <w:rFonts w:asciiTheme="minorHAnsi" w:hAnsiTheme="minorHAnsi"/>
          <w:szCs w:val="24"/>
        </w:rPr>
      </w:pPr>
      <w:r w:rsidRPr="004D153A">
        <w:rPr>
          <w:rFonts w:asciiTheme="minorHAnsi" w:hAnsiTheme="minorHAnsi"/>
          <w:szCs w:val="24"/>
        </w:rPr>
        <w:t>Nella pronuncia l</w:t>
      </w:r>
      <w:r w:rsidR="00342E4A" w:rsidRPr="004D153A">
        <w:rPr>
          <w:rFonts w:asciiTheme="minorHAnsi" w:hAnsiTheme="minorHAnsi"/>
          <w:szCs w:val="24"/>
        </w:rPr>
        <w:t xml:space="preserve">a Corte ha sottolineato come </w:t>
      </w:r>
      <w:r w:rsidR="00B93086" w:rsidRPr="004D153A">
        <w:rPr>
          <w:rFonts w:asciiTheme="minorHAnsi" w:hAnsiTheme="minorHAnsi"/>
          <w:szCs w:val="24"/>
        </w:rPr>
        <w:t>la necessità di ricorrere ripetutamente alle Corti nazionali per invocare l'eguaglianza di trattamento rispetto a ciascuno dei molteplici aspetti che interessano i diritti e i doveri tra i membri di una coppia, specialmente in un sistema giudiziario sovraccarico come quello italiano, si rivel</w:t>
      </w:r>
      <w:r w:rsidR="00C87D16">
        <w:rPr>
          <w:rFonts w:asciiTheme="minorHAnsi" w:hAnsiTheme="minorHAnsi"/>
          <w:szCs w:val="24"/>
        </w:rPr>
        <w:t>i</w:t>
      </w:r>
      <w:r w:rsidR="00B93086" w:rsidRPr="004D153A">
        <w:rPr>
          <w:rFonts w:asciiTheme="minorHAnsi" w:hAnsiTheme="minorHAnsi"/>
          <w:szCs w:val="24"/>
        </w:rPr>
        <w:t xml:space="preserve"> già un ostacolo non insignificante rispetto agli sforzi dei ricorrenti di ottenere il rispetto della loro vita privata e familiare. </w:t>
      </w:r>
      <w:r w:rsidR="00897EF2" w:rsidRPr="004D153A">
        <w:rPr>
          <w:rFonts w:asciiTheme="minorHAnsi" w:hAnsiTheme="minorHAnsi"/>
          <w:szCs w:val="24"/>
        </w:rPr>
        <w:t>(cfr. §</w:t>
      </w:r>
      <w:r w:rsidR="00397F70" w:rsidRPr="004D153A">
        <w:rPr>
          <w:rFonts w:asciiTheme="minorHAnsi" w:hAnsiTheme="minorHAnsi"/>
          <w:szCs w:val="24"/>
        </w:rPr>
        <w:t xml:space="preserve"> 171). Ne</w:t>
      </w:r>
      <w:r w:rsidR="00493A19" w:rsidRPr="004D153A">
        <w:rPr>
          <w:rFonts w:asciiTheme="minorHAnsi" w:hAnsiTheme="minorHAnsi"/>
          <w:szCs w:val="24"/>
        </w:rPr>
        <w:t xml:space="preserve"> consegue</w:t>
      </w:r>
      <w:r w:rsidR="00397F70" w:rsidRPr="004D153A">
        <w:rPr>
          <w:rFonts w:asciiTheme="minorHAnsi" w:hAnsiTheme="minorHAnsi"/>
          <w:szCs w:val="24"/>
        </w:rPr>
        <w:t>, pertanto,</w:t>
      </w:r>
      <w:r w:rsidR="00493A19" w:rsidRPr="004D153A">
        <w:rPr>
          <w:rFonts w:asciiTheme="minorHAnsi" w:hAnsiTheme="minorHAnsi"/>
          <w:szCs w:val="24"/>
        </w:rPr>
        <w:t xml:space="preserve"> che la tutela attualmente disponibile non soltanto appare carente di contenuto, in quanto omette di provvedere per le necessità basilari che sono rilevanti per una coppia in una relazione </w:t>
      </w:r>
      <w:r w:rsidR="00217D7D">
        <w:rPr>
          <w:rFonts w:asciiTheme="minorHAnsi" w:hAnsiTheme="minorHAnsi"/>
          <w:szCs w:val="24"/>
        </w:rPr>
        <w:t>solida</w:t>
      </w:r>
      <w:r w:rsidR="00493A19" w:rsidRPr="004D153A">
        <w:rPr>
          <w:rFonts w:asciiTheme="minorHAnsi" w:hAnsiTheme="minorHAnsi"/>
          <w:szCs w:val="24"/>
        </w:rPr>
        <w:t xml:space="preserve"> e duratura, ma è anch</w:t>
      </w:r>
      <w:r w:rsidR="00397F70" w:rsidRPr="004D153A">
        <w:rPr>
          <w:rFonts w:asciiTheme="minorHAnsi" w:hAnsiTheme="minorHAnsi"/>
          <w:szCs w:val="24"/>
        </w:rPr>
        <w:t>e non sufficientemente stabile, stante la dipendenza della predetta tutela</w:t>
      </w:r>
      <w:r w:rsidR="001C1713" w:rsidRPr="004D153A">
        <w:rPr>
          <w:rFonts w:asciiTheme="minorHAnsi" w:hAnsiTheme="minorHAnsi"/>
          <w:szCs w:val="24"/>
        </w:rPr>
        <w:t>, dall'atteggiamento</w:t>
      </w:r>
      <w:r w:rsidR="00397F70" w:rsidRPr="004D153A">
        <w:rPr>
          <w:rFonts w:asciiTheme="minorHAnsi" w:hAnsiTheme="minorHAnsi"/>
          <w:szCs w:val="24"/>
        </w:rPr>
        <w:t xml:space="preserve"> </w:t>
      </w:r>
      <w:r w:rsidR="00493A19" w:rsidRPr="004D153A">
        <w:rPr>
          <w:rFonts w:asciiTheme="minorHAnsi" w:hAnsiTheme="minorHAnsi"/>
          <w:szCs w:val="24"/>
        </w:rPr>
        <w:t>del giudice o talvolta dell’autorità amministrativa nel contesto di un Paese che non è vincolato dal sistema del precedente giudiziario</w:t>
      </w:r>
      <w:r w:rsidR="001C1713" w:rsidRPr="004D153A">
        <w:rPr>
          <w:rFonts w:asciiTheme="minorHAnsi" w:hAnsiTheme="minorHAnsi"/>
          <w:szCs w:val="24"/>
        </w:rPr>
        <w:t xml:space="preserve"> </w:t>
      </w:r>
      <w:r w:rsidR="00342E4A" w:rsidRPr="004D153A">
        <w:rPr>
          <w:rFonts w:asciiTheme="minorHAnsi" w:hAnsiTheme="minorHAnsi"/>
          <w:szCs w:val="24"/>
        </w:rPr>
        <w:t xml:space="preserve"> </w:t>
      </w:r>
      <w:r w:rsidR="001C1713" w:rsidRPr="004D153A">
        <w:rPr>
          <w:rFonts w:asciiTheme="minorHAnsi" w:hAnsiTheme="minorHAnsi"/>
          <w:szCs w:val="24"/>
        </w:rPr>
        <w:t xml:space="preserve">(cfr. § 172). </w:t>
      </w:r>
      <w:r w:rsidR="00000BB2" w:rsidRPr="004D153A">
        <w:rPr>
          <w:rFonts w:asciiTheme="minorHAnsi" w:hAnsiTheme="minorHAnsi"/>
          <w:szCs w:val="24"/>
        </w:rPr>
        <w:t>In aggiunta a quanto sopra</w:t>
      </w:r>
      <w:r w:rsidR="00217D7D">
        <w:rPr>
          <w:rFonts w:asciiTheme="minorHAnsi" w:hAnsiTheme="minorHAnsi"/>
          <w:szCs w:val="24"/>
        </w:rPr>
        <w:t>,</w:t>
      </w:r>
      <w:r w:rsidR="00000BB2" w:rsidRPr="004D153A">
        <w:rPr>
          <w:rFonts w:asciiTheme="minorHAnsi" w:hAnsiTheme="minorHAnsi"/>
          <w:szCs w:val="24"/>
        </w:rPr>
        <w:t xml:space="preserve"> la Corte sottolinea la tendenza al riconoscimento giuridico delle coppie omosessuali che ha continuato a svilupparsi rapidamente in Europa dal giudizio della Corte </w:t>
      </w:r>
      <w:proofErr w:type="spellStart"/>
      <w:r w:rsidR="00000BB2" w:rsidRPr="004D153A">
        <w:rPr>
          <w:rFonts w:asciiTheme="minorHAnsi" w:hAnsiTheme="minorHAnsi"/>
          <w:i/>
          <w:iCs/>
          <w:szCs w:val="24"/>
        </w:rPr>
        <w:t>Schalk</w:t>
      </w:r>
      <w:proofErr w:type="spellEnd"/>
      <w:r w:rsidR="00000BB2" w:rsidRPr="004D153A">
        <w:rPr>
          <w:rFonts w:asciiTheme="minorHAnsi" w:hAnsiTheme="minorHAnsi"/>
          <w:i/>
          <w:iCs/>
          <w:szCs w:val="24"/>
        </w:rPr>
        <w:t xml:space="preserve"> and </w:t>
      </w:r>
      <w:proofErr w:type="spellStart"/>
      <w:r w:rsidR="00000BB2" w:rsidRPr="004D153A">
        <w:rPr>
          <w:rFonts w:asciiTheme="minorHAnsi" w:hAnsiTheme="minorHAnsi"/>
          <w:i/>
          <w:iCs/>
          <w:szCs w:val="24"/>
        </w:rPr>
        <w:t>Kopf</w:t>
      </w:r>
      <w:proofErr w:type="spellEnd"/>
      <w:r w:rsidR="00000BB2" w:rsidRPr="004D153A">
        <w:rPr>
          <w:rFonts w:asciiTheme="minorHAnsi" w:hAnsiTheme="minorHAnsi"/>
          <w:szCs w:val="24"/>
        </w:rPr>
        <w:t xml:space="preserve">. </w:t>
      </w:r>
      <w:r w:rsidR="00217D7D">
        <w:rPr>
          <w:rFonts w:asciiTheme="minorHAnsi" w:hAnsiTheme="minorHAnsi"/>
          <w:szCs w:val="24"/>
        </w:rPr>
        <w:t>Infatti, a</w:t>
      </w:r>
      <w:r w:rsidR="00000BB2" w:rsidRPr="004D153A">
        <w:rPr>
          <w:rFonts w:asciiTheme="minorHAnsi" w:hAnsiTheme="minorHAnsi"/>
          <w:szCs w:val="24"/>
        </w:rPr>
        <w:t>ttualmente una  maggioranza degli Stati del consiglio d'Europa (24 su 47) ha</w:t>
      </w:r>
      <w:r w:rsidR="00217D7D">
        <w:rPr>
          <w:rFonts w:asciiTheme="minorHAnsi" w:hAnsiTheme="minorHAnsi"/>
          <w:szCs w:val="24"/>
        </w:rPr>
        <w:t xml:space="preserve"> </w:t>
      </w:r>
      <w:r w:rsidR="00000BB2" w:rsidRPr="004D153A">
        <w:rPr>
          <w:rFonts w:asciiTheme="minorHAnsi" w:hAnsiTheme="minorHAnsi"/>
          <w:szCs w:val="24"/>
        </w:rPr>
        <w:t>legiferato in favore di tale riconoscimento e della relativa tutela. Lo stesso rapido sviluppo</w:t>
      </w:r>
      <w:r w:rsidR="000262BB" w:rsidRPr="004D153A">
        <w:rPr>
          <w:rFonts w:asciiTheme="minorHAnsi" w:hAnsiTheme="minorHAnsi"/>
          <w:szCs w:val="24"/>
        </w:rPr>
        <w:t xml:space="preserve"> </w:t>
      </w:r>
      <w:r w:rsidR="00000BB2" w:rsidRPr="004D153A">
        <w:rPr>
          <w:rFonts w:asciiTheme="minorHAnsi" w:hAnsiTheme="minorHAnsi"/>
          <w:szCs w:val="24"/>
        </w:rPr>
        <w:t xml:space="preserve">può essere notato su scala globale con particolare riferimento ai paesi nelle </w:t>
      </w:r>
      <w:proofErr w:type="spellStart"/>
      <w:r w:rsidR="00000BB2" w:rsidRPr="004D153A">
        <w:rPr>
          <w:rFonts w:asciiTheme="minorHAnsi" w:hAnsiTheme="minorHAnsi"/>
          <w:szCs w:val="24"/>
        </w:rPr>
        <w:t>Americhe</w:t>
      </w:r>
      <w:proofErr w:type="spellEnd"/>
      <w:r w:rsidR="00000BB2" w:rsidRPr="004D153A">
        <w:rPr>
          <w:rFonts w:asciiTheme="minorHAnsi" w:hAnsiTheme="minorHAnsi"/>
          <w:szCs w:val="24"/>
        </w:rPr>
        <w:t xml:space="preserve"> e dell'</w:t>
      </w:r>
      <w:proofErr w:type="spellStart"/>
      <w:r w:rsidR="00000BB2" w:rsidRPr="004D153A">
        <w:rPr>
          <w:rFonts w:asciiTheme="minorHAnsi" w:hAnsiTheme="minorHAnsi"/>
          <w:szCs w:val="24"/>
        </w:rPr>
        <w:t>Australasia</w:t>
      </w:r>
      <w:proofErr w:type="spellEnd"/>
      <w:r w:rsidR="00014CBE">
        <w:rPr>
          <w:rStyle w:val="Rimandonotaapidipagina"/>
          <w:rFonts w:asciiTheme="minorHAnsi" w:hAnsiTheme="minorHAnsi"/>
          <w:szCs w:val="24"/>
        </w:rPr>
        <w:footnoteReference w:id="2"/>
      </w:r>
      <w:r w:rsidR="00217D7D">
        <w:rPr>
          <w:rFonts w:asciiTheme="minorHAnsi" w:hAnsiTheme="minorHAnsi"/>
          <w:szCs w:val="24"/>
        </w:rPr>
        <w:t xml:space="preserve">: una </w:t>
      </w:r>
      <w:r w:rsidR="00000BB2" w:rsidRPr="004D153A">
        <w:rPr>
          <w:rFonts w:asciiTheme="minorHAnsi" w:hAnsiTheme="minorHAnsi"/>
          <w:szCs w:val="24"/>
        </w:rPr>
        <w:t xml:space="preserve">tendenza </w:t>
      </w:r>
    </w:p>
    <w:p w:rsidR="006A2639" w:rsidRDefault="006A2639" w:rsidP="00055F44">
      <w:pPr>
        <w:spacing w:after="0" w:line="276" w:lineRule="auto"/>
        <w:rPr>
          <w:rFonts w:asciiTheme="minorHAnsi" w:hAnsiTheme="minorHAnsi"/>
          <w:szCs w:val="24"/>
        </w:rPr>
      </w:pPr>
    </w:p>
    <w:p w:rsidR="006A2639" w:rsidRDefault="006A2639" w:rsidP="00055F44">
      <w:pPr>
        <w:spacing w:after="0" w:line="276" w:lineRule="auto"/>
        <w:rPr>
          <w:rFonts w:asciiTheme="minorHAnsi" w:hAnsiTheme="minorHAnsi"/>
          <w:szCs w:val="24"/>
        </w:rPr>
      </w:pPr>
    </w:p>
    <w:p w:rsidR="00000BB2" w:rsidRPr="004D153A" w:rsidRDefault="00000BB2" w:rsidP="00055F44">
      <w:pPr>
        <w:spacing w:after="0" w:line="276" w:lineRule="auto"/>
        <w:rPr>
          <w:rFonts w:asciiTheme="minorHAnsi" w:hAnsiTheme="minorHAnsi"/>
          <w:szCs w:val="24"/>
        </w:rPr>
      </w:pPr>
      <w:r w:rsidRPr="004D153A">
        <w:rPr>
          <w:rFonts w:asciiTheme="minorHAnsi" w:hAnsiTheme="minorHAnsi"/>
          <w:szCs w:val="24"/>
        </w:rPr>
        <w:t>continuativa verso il riconoscimento giuridico su scala internazionale, al</w:t>
      </w:r>
      <w:r w:rsidR="000262BB" w:rsidRPr="004D153A">
        <w:rPr>
          <w:rFonts w:asciiTheme="minorHAnsi" w:hAnsiTheme="minorHAnsi"/>
          <w:szCs w:val="24"/>
        </w:rPr>
        <w:t>la</w:t>
      </w:r>
      <w:r w:rsidRPr="004D153A">
        <w:rPr>
          <w:rFonts w:asciiTheme="minorHAnsi" w:hAnsiTheme="minorHAnsi"/>
          <w:szCs w:val="24"/>
        </w:rPr>
        <w:t xml:space="preserve"> quale la Corte</w:t>
      </w:r>
      <w:r w:rsidR="000262BB" w:rsidRPr="004D153A">
        <w:rPr>
          <w:rFonts w:asciiTheme="minorHAnsi" w:hAnsiTheme="minorHAnsi"/>
          <w:szCs w:val="24"/>
        </w:rPr>
        <w:t xml:space="preserve"> di Strasburgo</w:t>
      </w:r>
      <w:r w:rsidRPr="004D153A">
        <w:rPr>
          <w:rFonts w:asciiTheme="minorHAnsi" w:hAnsiTheme="minorHAnsi"/>
          <w:szCs w:val="24"/>
        </w:rPr>
        <w:t xml:space="preserve"> non può che attribuire importanza</w:t>
      </w:r>
      <w:r w:rsidR="000262BB" w:rsidRPr="004D153A">
        <w:rPr>
          <w:rFonts w:asciiTheme="minorHAnsi" w:hAnsiTheme="minorHAnsi"/>
          <w:szCs w:val="24"/>
        </w:rPr>
        <w:t xml:space="preserve"> (cfr. § 178)</w:t>
      </w:r>
      <w:r w:rsidR="00617E30" w:rsidRPr="004D153A">
        <w:rPr>
          <w:rFonts w:asciiTheme="minorHAnsi" w:hAnsiTheme="minorHAnsi"/>
          <w:szCs w:val="24"/>
        </w:rPr>
        <w:t>.</w:t>
      </w:r>
    </w:p>
    <w:p w:rsidR="0062352A" w:rsidRDefault="0062352A" w:rsidP="00055F44">
      <w:pPr>
        <w:spacing w:after="0" w:line="276" w:lineRule="auto"/>
        <w:rPr>
          <w:rFonts w:asciiTheme="minorHAnsi" w:hAnsiTheme="minorHAnsi"/>
          <w:szCs w:val="24"/>
        </w:rPr>
      </w:pPr>
    </w:p>
    <w:p w:rsidR="00A22568" w:rsidRDefault="00A22568" w:rsidP="00055F44">
      <w:pPr>
        <w:spacing w:after="0" w:line="276" w:lineRule="auto"/>
        <w:rPr>
          <w:rFonts w:asciiTheme="minorHAnsi" w:hAnsiTheme="minorHAnsi"/>
          <w:szCs w:val="24"/>
        </w:rPr>
      </w:pPr>
    </w:p>
    <w:p w:rsidR="0025215A" w:rsidRPr="004D153A" w:rsidRDefault="00617E30" w:rsidP="00055F44">
      <w:pPr>
        <w:spacing w:after="0" w:line="276" w:lineRule="auto"/>
        <w:rPr>
          <w:rFonts w:asciiTheme="minorHAnsi" w:eastAsia="Times New Roman" w:hAnsiTheme="minorHAnsi"/>
          <w:szCs w:val="24"/>
          <w:lang w:eastAsia="it-IT"/>
        </w:rPr>
      </w:pPr>
      <w:r w:rsidRPr="004D153A">
        <w:rPr>
          <w:rFonts w:asciiTheme="minorHAnsi" w:hAnsiTheme="minorHAnsi"/>
          <w:szCs w:val="24"/>
        </w:rPr>
        <w:t>I</w:t>
      </w:r>
      <w:r w:rsidR="00342E4A" w:rsidRPr="004D153A">
        <w:rPr>
          <w:rFonts w:asciiTheme="minorHAnsi" w:hAnsiTheme="minorHAnsi"/>
          <w:szCs w:val="24"/>
        </w:rPr>
        <w:t>nfine, dopo aver ricordato come le diverse pronunce in merito delle Corti nazionali siano rimaste inascoltate, ha concluso condannando l'Italia poiché il Governo italiano ha ecceduto il suo margine di apprezzamento ed ha mancato di adempiere il suo obbligo positivo di assicurare che i ricorrenti avessero a disposizione un quadro giuridico che prevedesse la tutela e il r</w:t>
      </w:r>
      <w:r w:rsidRPr="004D153A">
        <w:rPr>
          <w:rFonts w:asciiTheme="minorHAnsi" w:hAnsiTheme="minorHAnsi"/>
          <w:szCs w:val="24"/>
        </w:rPr>
        <w:t>iconoscimen</w:t>
      </w:r>
      <w:r w:rsidR="00233F82" w:rsidRPr="004D153A">
        <w:rPr>
          <w:rFonts w:asciiTheme="minorHAnsi" w:hAnsiTheme="minorHAnsi"/>
          <w:szCs w:val="24"/>
        </w:rPr>
        <w:t>to della loro unione (cfr. § 185</w:t>
      </w:r>
      <w:r w:rsidRPr="004D153A">
        <w:rPr>
          <w:rFonts w:asciiTheme="minorHAnsi" w:hAnsiTheme="minorHAnsi"/>
          <w:szCs w:val="24"/>
        </w:rPr>
        <w:t>).</w:t>
      </w:r>
      <w:r w:rsidR="00342E4A" w:rsidRPr="004D153A">
        <w:rPr>
          <w:rFonts w:asciiTheme="minorHAnsi" w:hAnsiTheme="minorHAnsi"/>
          <w:szCs w:val="24"/>
        </w:rPr>
        <w:t xml:space="preserve"> </w:t>
      </w:r>
    </w:p>
    <w:p w:rsidR="00A96827" w:rsidRPr="004D153A" w:rsidRDefault="00A96827" w:rsidP="00055F44">
      <w:pPr>
        <w:spacing w:after="0" w:line="276" w:lineRule="auto"/>
        <w:rPr>
          <w:rFonts w:asciiTheme="minorHAnsi" w:eastAsia="Times New Roman" w:hAnsiTheme="minorHAnsi"/>
          <w:szCs w:val="24"/>
          <w:lang w:eastAsia="it-IT"/>
        </w:rPr>
      </w:pPr>
    </w:p>
    <w:p w:rsidR="004D153A" w:rsidRDefault="004D153A" w:rsidP="00055F44">
      <w:pPr>
        <w:pStyle w:val="Paragrafoelenco"/>
        <w:autoSpaceDE w:val="0"/>
        <w:autoSpaceDN w:val="0"/>
        <w:adjustRightInd w:val="0"/>
        <w:spacing w:after="0" w:line="276" w:lineRule="auto"/>
        <w:ind w:left="0"/>
        <w:rPr>
          <w:rFonts w:asciiTheme="minorHAnsi" w:eastAsia="Times New Roman" w:hAnsiTheme="minorHAnsi"/>
          <w:color w:val="FF0000"/>
          <w:szCs w:val="24"/>
          <w:lang w:eastAsia="it-IT"/>
        </w:rPr>
      </w:pPr>
    </w:p>
    <w:p w:rsidR="00E71B31" w:rsidRDefault="00E71B31" w:rsidP="00055F44">
      <w:pPr>
        <w:pStyle w:val="Paragrafoelenco"/>
        <w:autoSpaceDE w:val="0"/>
        <w:autoSpaceDN w:val="0"/>
        <w:adjustRightInd w:val="0"/>
        <w:spacing w:after="0" w:line="276" w:lineRule="auto"/>
        <w:ind w:left="0"/>
        <w:rPr>
          <w:rFonts w:asciiTheme="minorHAnsi" w:eastAsia="Times New Roman" w:hAnsiTheme="minorHAnsi"/>
          <w:color w:val="FF0000"/>
          <w:szCs w:val="24"/>
          <w:lang w:eastAsia="it-IT"/>
        </w:rPr>
      </w:pPr>
    </w:p>
    <w:p w:rsidR="00590BD8" w:rsidRPr="004D153A" w:rsidRDefault="0016668D" w:rsidP="00055F44">
      <w:pPr>
        <w:pStyle w:val="Paragrafoelenco"/>
        <w:autoSpaceDE w:val="0"/>
        <w:autoSpaceDN w:val="0"/>
        <w:adjustRightInd w:val="0"/>
        <w:spacing w:after="0" w:line="276" w:lineRule="auto"/>
        <w:ind w:left="0"/>
        <w:rPr>
          <w:rFonts w:asciiTheme="minorHAnsi" w:hAnsiTheme="minorHAnsi"/>
          <w:color w:val="FF0000"/>
          <w:szCs w:val="24"/>
        </w:rPr>
      </w:pPr>
      <w:r w:rsidRPr="004D153A">
        <w:rPr>
          <w:rFonts w:asciiTheme="minorHAnsi" w:eastAsia="Times New Roman" w:hAnsiTheme="minorHAnsi"/>
          <w:color w:val="FF0000"/>
          <w:szCs w:val="24"/>
          <w:lang w:eastAsia="it-IT"/>
        </w:rPr>
        <w:t>2</w:t>
      </w:r>
      <w:r w:rsidR="00906F7C" w:rsidRPr="004D153A">
        <w:rPr>
          <w:rFonts w:asciiTheme="minorHAnsi" w:eastAsia="Times New Roman" w:hAnsiTheme="minorHAnsi"/>
          <w:color w:val="FF0000"/>
          <w:szCs w:val="24"/>
          <w:lang w:eastAsia="it-IT"/>
        </w:rPr>
        <w:t>.</w:t>
      </w:r>
      <w:r w:rsidR="00906F7C" w:rsidRPr="004D153A">
        <w:rPr>
          <w:rFonts w:asciiTheme="minorHAnsi" w:eastAsia="Times New Roman" w:hAnsiTheme="minorHAnsi"/>
          <w:szCs w:val="24"/>
          <w:lang w:eastAsia="it-IT"/>
        </w:rPr>
        <w:t xml:space="preserve"> </w:t>
      </w:r>
      <w:r w:rsidR="00590BD8" w:rsidRPr="004D153A">
        <w:rPr>
          <w:rFonts w:asciiTheme="minorHAnsi" w:hAnsiTheme="minorHAnsi"/>
          <w:color w:val="FF0000"/>
          <w:szCs w:val="24"/>
        </w:rPr>
        <w:t>La giurisprudenza delle Corti nazionali</w:t>
      </w:r>
    </w:p>
    <w:p w:rsidR="00D432FC" w:rsidRPr="004D153A" w:rsidRDefault="00D432FC" w:rsidP="00055F44">
      <w:pPr>
        <w:autoSpaceDE w:val="0"/>
        <w:autoSpaceDN w:val="0"/>
        <w:adjustRightInd w:val="0"/>
        <w:spacing w:after="0" w:line="276" w:lineRule="auto"/>
        <w:rPr>
          <w:rFonts w:asciiTheme="minorHAnsi" w:hAnsiTheme="minorHAnsi"/>
          <w:color w:val="FF0000"/>
          <w:szCs w:val="24"/>
        </w:rPr>
      </w:pPr>
    </w:p>
    <w:p w:rsidR="00602643" w:rsidRPr="004D153A" w:rsidRDefault="00D432FC" w:rsidP="00055F44">
      <w:pPr>
        <w:pStyle w:val="sentnormal1"/>
        <w:shd w:val="clear" w:color="auto" w:fill="FFFFFF"/>
        <w:spacing w:before="0" w:beforeAutospacing="0" w:after="0" w:line="276" w:lineRule="auto"/>
        <w:rPr>
          <w:rFonts w:asciiTheme="minorHAnsi" w:hAnsiTheme="minorHAnsi"/>
        </w:rPr>
      </w:pPr>
      <w:r w:rsidRPr="004D153A">
        <w:rPr>
          <w:rFonts w:asciiTheme="minorHAnsi" w:hAnsiTheme="minorHAnsi"/>
        </w:rPr>
        <w:t xml:space="preserve">Con la nota </w:t>
      </w:r>
      <w:hyperlink r:id="rId12" w:history="1">
        <w:r w:rsidR="00847ECD" w:rsidRPr="004D153A">
          <w:rPr>
            <w:rStyle w:val="Collegamentoipertestuale"/>
            <w:rFonts w:asciiTheme="minorHAnsi" w:hAnsiTheme="minorHAnsi"/>
            <w:i/>
          </w:rPr>
          <w:t>s</w:t>
        </w:r>
        <w:r w:rsidRPr="004D153A">
          <w:rPr>
            <w:rStyle w:val="Collegamentoipertestuale"/>
            <w:rFonts w:asciiTheme="minorHAnsi" w:hAnsiTheme="minorHAnsi"/>
            <w:i/>
          </w:rPr>
          <w:t>entenza n. 138 del 2010</w:t>
        </w:r>
      </w:hyperlink>
      <w:r w:rsidRPr="004D153A">
        <w:rPr>
          <w:rFonts w:asciiTheme="minorHAnsi" w:hAnsiTheme="minorHAnsi"/>
        </w:rPr>
        <w:t xml:space="preserve"> </w:t>
      </w:r>
      <w:r w:rsidR="00BC5604" w:rsidRPr="004D153A">
        <w:rPr>
          <w:rFonts w:asciiTheme="minorHAnsi" w:hAnsiTheme="minorHAnsi"/>
        </w:rPr>
        <w:t>la Corte Costituzionale</w:t>
      </w:r>
      <w:r w:rsidR="00602643" w:rsidRPr="004D153A">
        <w:rPr>
          <w:rFonts w:asciiTheme="minorHAnsi" w:hAnsiTheme="minorHAnsi"/>
        </w:rPr>
        <w:t xml:space="preserve"> </w:t>
      </w:r>
      <w:r w:rsidR="00AE3E8E" w:rsidRPr="004D153A">
        <w:rPr>
          <w:rFonts w:asciiTheme="minorHAnsi" w:hAnsiTheme="minorHAnsi"/>
        </w:rPr>
        <w:t>ha afferma</w:t>
      </w:r>
      <w:r w:rsidR="0000204D" w:rsidRPr="004D153A">
        <w:rPr>
          <w:rFonts w:asciiTheme="minorHAnsi" w:hAnsiTheme="minorHAnsi"/>
        </w:rPr>
        <w:t>t</w:t>
      </w:r>
      <w:r w:rsidR="00602643" w:rsidRPr="004D153A">
        <w:rPr>
          <w:rFonts w:asciiTheme="minorHAnsi" w:hAnsiTheme="minorHAnsi"/>
        </w:rPr>
        <w:t>o che</w:t>
      </w:r>
      <w:r w:rsidR="00217D7D">
        <w:rPr>
          <w:rFonts w:asciiTheme="minorHAnsi" w:hAnsiTheme="minorHAnsi"/>
        </w:rPr>
        <w:t>,</w:t>
      </w:r>
      <w:r w:rsidR="00602643" w:rsidRPr="004D153A">
        <w:rPr>
          <w:rFonts w:asciiTheme="minorHAnsi" w:hAnsiTheme="minorHAnsi"/>
        </w:rPr>
        <w:t xml:space="preserve"> in assenza di diversi riferimenti</w:t>
      </w:r>
      <w:r w:rsidR="007C1DAA" w:rsidRPr="004D153A">
        <w:rPr>
          <w:rFonts w:asciiTheme="minorHAnsi" w:hAnsiTheme="minorHAnsi"/>
        </w:rPr>
        <w:t xml:space="preserve"> normativi</w:t>
      </w:r>
      <w:r w:rsidR="00602643" w:rsidRPr="004D153A">
        <w:rPr>
          <w:rFonts w:asciiTheme="minorHAnsi" w:hAnsiTheme="minorHAnsi"/>
        </w:rPr>
        <w:t xml:space="preserve">, è inevitabile concludere che i costituenti tennero presente, elaborando l'articolo 29, la nozione di matrimonio definita dal codice civile entrato in vigore nel 1942, che stabiliva (e tuttora stabilisce) che i coniugi dovessero </w:t>
      </w:r>
      <w:r w:rsidR="0083036F" w:rsidRPr="004D153A">
        <w:rPr>
          <w:rFonts w:asciiTheme="minorHAnsi" w:hAnsiTheme="minorHAnsi"/>
        </w:rPr>
        <w:t xml:space="preserve">essere persone di sesso diverso, nonché l'impossibilità per il giudice delle leggi di superare il </w:t>
      </w:r>
      <w:r w:rsidR="00602643" w:rsidRPr="004D153A">
        <w:rPr>
          <w:rFonts w:asciiTheme="minorHAnsi" w:hAnsiTheme="minorHAnsi"/>
        </w:rPr>
        <w:t>significato del precetto costituzionale per via ermeneutica, p</w:t>
      </w:r>
      <w:r w:rsidR="0083036F" w:rsidRPr="004D153A">
        <w:rPr>
          <w:rFonts w:asciiTheme="minorHAnsi" w:hAnsiTheme="minorHAnsi"/>
        </w:rPr>
        <w:t>oiché</w:t>
      </w:r>
      <w:r w:rsidR="00602643" w:rsidRPr="004D153A">
        <w:rPr>
          <w:rFonts w:asciiTheme="minorHAnsi" w:hAnsiTheme="minorHAnsi"/>
        </w:rPr>
        <w:t xml:space="preserve"> non si tratterebbe di una semplice rilettura del sistema o di abbandonare una mera prassi interpretativa, bensì di procedere ad un'interpretazione creativa</w:t>
      </w:r>
      <w:r w:rsidR="0000204D" w:rsidRPr="004D153A">
        <w:rPr>
          <w:rFonts w:asciiTheme="minorHAnsi" w:hAnsiTheme="minorHAnsi"/>
        </w:rPr>
        <w:t>.</w:t>
      </w:r>
    </w:p>
    <w:p w:rsidR="00276D81" w:rsidRPr="004D153A" w:rsidRDefault="002D2A68" w:rsidP="00055F44">
      <w:pPr>
        <w:pStyle w:val="sentnormal1"/>
        <w:shd w:val="clear" w:color="auto" w:fill="FFFFFF"/>
        <w:spacing w:before="0" w:beforeAutospacing="0" w:after="0" w:line="276" w:lineRule="auto"/>
        <w:rPr>
          <w:rFonts w:asciiTheme="minorHAnsi" w:hAnsiTheme="minorHAnsi"/>
        </w:rPr>
      </w:pPr>
      <w:r w:rsidRPr="004D153A">
        <w:rPr>
          <w:rFonts w:asciiTheme="minorHAnsi" w:hAnsiTheme="minorHAnsi"/>
        </w:rPr>
        <w:t>Tuttavia, l</w:t>
      </w:r>
      <w:r w:rsidR="0000204D" w:rsidRPr="004D153A">
        <w:rPr>
          <w:rFonts w:asciiTheme="minorHAnsi" w:hAnsiTheme="minorHAnsi"/>
        </w:rPr>
        <w:t>a Corte pur n</w:t>
      </w:r>
      <w:r w:rsidRPr="004D153A">
        <w:rPr>
          <w:rFonts w:asciiTheme="minorHAnsi" w:hAnsiTheme="minorHAnsi"/>
        </w:rPr>
        <w:t>on</w:t>
      </w:r>
      <w:r w:rsidR="0000204D" w:rsidRPr="004D153A">
        <w:rPr>
          <w:rFonts w:asciiTheme="minorHAnsi" w:hAnsiTheme="minorHAnsi"/>
        </w:rPr>
        <w:t xml:space="preserve"> estendendo </w:t>
      </w:r>
      <w:r w:rsidRPr="004D153A">
        <w:rPr>
          <w:rFonts w:asciiTheme="minorHAnsi" w:hAnsiTheme="minorHAnsi"/>
        </w:rPr>
        <w:t>il diritto al matrimonio alle coppie formate da persone dello stesso sesso</w:t>
      </w:r>
      <w:r w:rsidR="00276D81" w:rsidRPr="004D153A">
        <w:rPr>
          <w:rFonts w:asciiTheme="minorHAnsi" w:hAnsiTheme="minorHAnsi"/>
        </w:rPr>
        <w:t xml:space="preserve">, </w:t>
      </w:r>
      <w:r w:rsidR="0000204D" w:rsidRPr="004D153A">
        <w:rPr>
          <w:rFonts w:asciiTheme="minorHAnsi" w:hAnsiTheme="minorHAnsi"/>
        </w:rPr>
        <w:t xml:space="preserve"> </w:t>
      </w:r>
      <w:r w:rsidR="00276D81" w:rsidRPr="004D153A">
        <w:rPr>
          <w:rFonts w:asciiTheme="minorHAnsi" w:hAnsiTheme="minorHAnsi"/>
        </w:rPr>
        <w:t>dopo aver ricordato che l'articolo 2 della Costituzione riconosce e garantisce i diritti inviolabili dell'uomo, sia come singolo sia nelle formazioni sociali ove si svolge la sua personalità</w:t>
      </w:r>
      <w:r w:rsidR="00217D7D">
        <w:rPr>
          <w:rFonts w:asciiTheme="minorHAnsi" w:hAnsiTheme="minorHAnsi"/>
        </w:rPr>
        <w:t>,</w:t>
      </w:r>
      <w:r w:rsidR="00276D81" w:rsidRPr="004D153A">
        <w:rPr>
          <w:rFonts w:asciiTheme="minorHAnsi" w:hAnsiTheme="minorHAnsi"/>
        </w:rPr>
        <w:t xml:space="preserve"> e richiede l'adempimento dei doveri inderogabili di solidarietà politica, economica e sociale, afferma che "</w:t>
      </w:r>
      <w:r w:rsidR="00276D81" w:rsidRPr="004D153A">
        <w:rPr>
          <w:rFonts w:asciiTheme="minorHAnsi" w:hAnsiTheme="minorHAnsi"/>
          <w:i/>
        </w:rPr>
        <w:t>per formazione sociale deve intendersi ogni forma di comunità, semplice o complessa, idonea a consentire e favorire il libero sviluppo della persona nella vita di relazione, nel contesto di una valorizzazione del modello pluralistico. In tale nozione è da annoverare anche l'unione omosessuale, intesa come stabile convivenza tra due persone dello stesso sesso, cui spetta il diritto fondamentale di vivere liberamente una condizione di coppia, ottenendone - nei tempi, nei modi e nei limiti stabiliti dalla legge - il riconoscimento giuridico con i connessi diritti e doveri</w:t>
      </w:r>
      <w:r w:rsidR="00A42E16" w:rsidRPr="004D153A">
        <w:rPr>
          <w:rFonts w:asciiTheme="minorHAnsi" w:hAnsiTheme="minorHAnsi"/>
          <w:i/>
        </w:rPr>
        <w:t>.</w:t>
      </w:r>
      <w:r w:rsidR="00590399" w:rsidRPr="004D153A">
        <w:rPr>
          <w:rFonts w:asciiTheme="minorHAnsi" w:hAnsiTheme="minorHAnsi"/>
          <w:i/>
        </w:rPr>
        <w:t>"</w:t>
      </w:r>
    </w:p>
    <w:p w:rsidR="00BF1C61" w:rsidRPr="004D153A" w:rsidRDefault="00BF1C61" w:rsidP="00055F44">
      <w:pPr>
        <w:autoSpaceDE w:val="0"/>
        <w:autoSpaceDN w:val="0"/>
        <w:adjustRightInd w:val="0"/>
        <w:spacing w:after="0" w:line="276" w:lineRule="auto"/>
        <w:rPr>
          <w:rFonts w:asciiTheme="minorHAnsi" w:hAnsiTheme="minorHAnsi"/>
          <w:szCs w:val="24"/>
        </w:rPr>
      </w:pPr>
    </w:p>
    <w:p w:rsidR="00D75551" w:rsidRDefault="004538C4" w:rsidP="00055F44">
      <w:pPr>
        <w:autoSpaceDE w:val="0"/>
        <w:autoSpaceDN w:val="0"/>
        <w:adjustRightInd w:val="0"/>
        <w:spacing w:after="0" w:line="276" w:lineRule="auto"/>
        <w:rPr>
          <w:rFonts w:asciiTheme="minorHAnsi" w:eastAsia="Times New Roman" w:hAnsiTheme="minorHAnsi"/>
          <w:szCs w:val="24"/>
          <w:lang w:eastAsia="it-IT"/>
        </w:rPr>
      </w:pPr>
      <w:r w:rsidRPr="004D153A">
        <w:rPr>
          <w:rFonts w:asciiTheme="minorHAnsi" w:hAnsiTheme="minorHAnsi"/>
          <w:szCs w:val="24"/>
        </w:rPr>
        <w:t>Successivamente</w:t>
      </w:r>
      <w:r w:rsidR="00217D7D">
        <w:rPr>
          <w:rFonts w:asciiTheme="minorHAnsi" w:hAnsiTheme="minorHAnsi"/>
          <w:szCs w:val="24"/>
        </w:rPr>
        <w:t>,</w:t>
      </w:r>
      <w:r w:rsidRPr="004D153A">
        <w:rPr>
          <w:rFonts w:asciiTheme="minorHAnsi" w:hAnsiTheme="minorHAnsi"/>
          <w:szCs w:val="24"/>
        </w:rPr>
        <w:t xml:space="preserve"> a pronunciarsi in materia, con la </w:t>
      </w:r>
      <w:hyperlink r:id="rId13" w:history="1">
        <w:r w:rsidR="00847ECD" w:rsidRPr="004D153A">
          <w:rPr>
            <w:rStyle w:val="Collegamentoipertestuale"/>
            <w:rFonts w:asciiTheme="minorHAnsi" w:hAnsiTheme="minorHAnsi"/>
            <w:szCs w:val="24"/>
          </w:rPr>
          <w:t>s</w:t>
        </w:r>
        <w:r w:rsidRPr="004D153A">
          <w:rPr>
            <w:rStyle w:val="Collegamentoipertestuale"/>
            <w:rFonts w:asciiTheme="minorHAnsi" w:hAnsiTheme="minorHAnsi"/>
            <w:szCs w:val="24"/>
          </w:rPr>
          <w:t>entenza</w:t>
        </w:r>
        <w:r w:rsidR="00DA040A">
          <w:rPr>
            <w:rStyle w:val="Collegamentoipertestuale"/>
            <w:rFonts w:asciiTheme="minorHAnsi" w:hAnsiTheme="minorHAnsi"/>
            <w:szCs w:val="24"/>
          </w:rPr>
          <w:t xml:space="preserve"> 15 marzo 2012, </w:t>
        </w:r>
        <w:proofErr w:type="spellStart"/>
        <w:r w:rsidR="00DA040A">
          <w:rPr>
            <w:rStyle w:val="Collegamentoipertestuale"/>
            <w:rFonts w:asciiTheme="minorHAnsi" w:hAnsiTheme="minorHAnsi"/>
            <w:szCs w:val="24"/>
          </w:rPr>
          <w:t>Sez.I</w:t>
        </w:r>
        <w:proofErr w:type="spellEnd"/>
        <w:r w:rsidR="00DA040A">
          <w:rPr>
            <w:rStyle w:val="Collegamentoipertestuale"/>
            <w:rFonts w:asciiTheme="minorHAnsi" w:hAnsiTheme="minorHAnsi"/>
            <w:szCs w:val="24"/>
          </w:rPr>
          <w:t>,</w:t>
        </w:r>
        <w:r w:rsidR="007322ED">
          <w:rPr>
            <w:rStyle w:val="Collegamentoipertestuale"/>
            <w:rFonts w:asciiTheme="minorHAnsi" w:hAnsiTheme="minorHAnsi"/>
            <w:szCs w:val="24"/>
          </w:rPr>
          <w:t xml:space="preserve"> </w:t>
        </w:r>
        <w:r w:rsidR="00ED5D3E" w:rsidRPr="00ED5D3E">
          <w:rPr>
            <w:rStyle w:val="Collegamentoipertestuale"/>
            <w:rFonts w:asciiTheme="minorHAnsi" w:hAnsiTheme="minorHAnsi"/>
            <w:szCs w:val="24"/>
          </w:rPr>
          <w:t>n. 4184</w:t>
        </w:r>
      </w:hyperlink>
      <w:r w:rsidRPr="004D153A">
        <w:rPr>
          <w:rFonts w:asciiTheme="minorHAnsi" w:hAnsiTheme="minorHAnsi"/>
          <w:szCs w:val="24"/>
        </w:rPr>
        <w:t xml:space="preserve">, è la Suprema Corte di Cassazione </w:t>
      </w:r>
      <w:r w:rsidR="00BF1C61" w:rsidRPr="004D153A">
        <w:rPr>
          <w:rFonts w:asciiTheme="minorHAnsi" w:hAnsiTheme="minorHAnsi"/>
          <w:szCs w:val="24"/>
        </w:rPr>
        <w:t>che sebbene intervenuta,</w:t>
      </w:r>
      <w:r w:rsidRPr="004D153A">
        <w:rPr>
          <w:rFonts w:asciiTheme="minorHAnsi" w:eastAsia="Times New Roman" w:hAnsiTheme="minorHAnsi"/>
          <w:szCs w:val="24"/>
          <w:lang w:eastAsia="it-IT"/>
        </w:rPr>
        <w:t xml:space="preserve"> su una questione altamente specifica e </w:t>
      </w:r>
      <w:r w:rsidR="0040575D" w:rsidRPr="004D153A">
        <w:rPr>
          <w:rFonts w:asciiTheme="minorHAnsi" w:eastAsia="Times New Roman" w:hAnsiTheme="minorHAnsi"/>
          <w:szCs w:val="24"/>
          <w:lang w:eastAsia="it-IT"/>
        </w:rPr>
        <w:t xml:space="preserve"> a</w:t>
      </w:r>
      <w:r w:rsidRPr="004D153A">
        <w:rPr>
          <w:rFonts w:asciiTheme="minorHAnsi" w:eastAsia="Times New Roman" w:hAnsiTheme="minorHAnsi"/>
          <w:szCs w:val="24"/>
          <w:lang w:eastAsia="it-IT"/>
        </w:rPr>
        <w:t>pparentemente</w:t>
      </w:r>
      <w:r w:rsidR="00BF1C61" w:rsidRPr="004D153A">
        <w:rPr>
          <w:rFonts w:asciiTheme="minorHAnsi" w:eastAsia="Times New Roman" w:hAnsiTheme="minorHAnsi"/>
          <w:szCs w:val="24"/>
          <w:lang w:eastAsia="it-IT"/>
        </w:rPr>
        <w:t xml:space="preserve"> </w:t>
      </w:r>
      <w:r w:rsidRPr="004D153A">
        <w:rPr>
          <w:rFonts w:asciiTheme="minorHAnsi" w:eastAsia="Times New Roman" w:hAnsiTheme="minorHAnsi"/>
          <w:szCs w:val="24"/>
          <w:lang w:eastAsia="it-IT"/>
        </w:rPr>
        <w:t>circoscritta, ossia in</w:t>
      </w:r>
      <w:r w:rsidR="007559F5" w:rsidRPr="004D153A">
        <w:rPr>
          <w:rFonts w:asciiTheme="minorHAnsi" w:eastAsia="Times New Roman" w:hAnsiTheme="minorHAnsi"/>
          <w:szCs w:val="24"/>
          <w:lang w:eastAsia="it-IT"/>
        </w:rPr>
        <w:t xml:space="preserve"> merito alla </w:t>
      </w:r>
      <w:proofErr w:type="spellStart"/>
      <w:r w:rsidR="007559F5" w:rsidRPr="004D153A">
        <w:rPr>
          <w:rFonts w:asciiTheme="minorHAnsi" w:eastAsia="Times New Roman" w:hAnsiTheme="minorHAnsi"/>
          <w:szCs w:val="24"/>
          <w:lang w:eastAsia="it-IT"/>
        </w:rPr>
        <w:t>trascrivibilità</w:t>
      </w:r>
      <w:proofErr w:type="spellEnd"/>
      <w:r w:rsidRPr="004D153A">
        <w:rPr>
          <w:rFonts w:asciiTheme="minorHAnsi" w:eastAsia="Times New Roman" w:hAnsiTheme="minorHAnsi"/>
          <w:szCs w:val="24"/>
          <w:lang w:eastAsia="it-IT"/>
        </w:rPr>
        <w:t xml:space="preserve"> di un atto di matrimonio contratto all’estero tra cittadini italiani</w:t>
      </w:r>
      <w:r w:rsidR="00BF1C61" w:rsidRPr="004D153A">
        <w:rPr>
          <w:rFonts w:asciiTheme="minorHAnsi" w:eastAsia="Times New Roman" w:hAnsiTheme="minorHAnsi"/>
          <w:szCs w:val="24"/>
          <w:lang w:eastAsia="it-IT"/>
        </w:rPr>
        <w:t xml:space="preserve"> </w:t>
      </w:r>
      <w:r w:rsidRPr="004D153A">
        <w:rPr>
          <w:rFonts w:asciiTheme="minorHAnsi" w:eastAsia="Times New Roman" w:hAnsiTheme="minorHAnsi"/>
          <w:szCs w:val="24"/>
          <w:lang w:eastAsia="it-IT"/>
        </w:rPr>
        <w:t>dello stesso sesso, ha investito</w:t>
      </w:r>
      <w:r w:rsidR="00BF1C61" w:rsidRPr="004D153A">
        <w:rPr>
          <w:rFonts w:asciiTheme="minorHAnsi" w:eastAsia="Times New Roman" w:hAnsiTheme="minorHAnsi"/>
          <w:szCs w:val="24"/>
          <w:lang w:eastAsia="it-IT"/>
        </w:rPr>
        <w:t xml:space="preserve"> </w:t>
      </w:r>
      <w:r w:rsidRPr="004D153A">
        <w:rPr>
          <w:rFonts w:asciiTheme="minorHAnsi" w:eastAsia="Times New Roman" w:hAnsiTheme="minorHAnsi"/>
          <w:szCs w:val="24"/>
          <w:lang w:eastAsia="it-IT"/>
        </w:rPr>
        <w:t>ulteriori profili,</w:t>
      </w:r>
      <w:r w:rsidR="0040575D" w:rsidRPr="004D153A">
        <w:rPr>
          <w:rFonts w:asciiTheme="minorHAnsi" w:eastAsia="Times New Roman" w:hAnsiTheme="minorHAnsi"/>
          <w:szCs w:val="24"/>
          <w:lang w:eastAsia="it-IT"/>
        </w:rPr>
        <w:t xml:space="preserve"> affrontando in modo approfondito, il tema, di carattere più generale, del fenomeno della stabile convivenza tra persone </w:t>
      </w:r>
    </w:p>
    <w:p w:rsidR="00D75551" w:rsidRDefault="00D75551" w:rsidP="00055F44">
      <w:pPr>
        <w:autoSpaceDE w:val="0"/>
        <w:autoSpaceDN w:val="0"/>
        <w:adjustRightInd w:val="0"/>
        <w:spacing w:after="0" w:line="276" w:lineRule="auto"/>
        <w:rPr>
          <w:rFonts w:asciiTheme="minorHAnsi" w:eastAsia="Times New Roman" w:hAnsiTheme="minorHAnsi"/>
          <w:szCs w:val="24"/>
          <w:lang w:eastAsia="it-IT"/>
        </w:rPr>
      </w:pPr>
    </w:p>
    <w:p w:rsidR="00D75551" w:rsidRDefault="00D75551" w:rsidP="00055F44">
      <w:pPr>
        <w:autoSpaceDE w:val="0"/>
        <w:autoSpaceDN w:val="0"/>
        <w:adjustRightInd w:val="0"/>
        <w:spacing w:after="0" w:line="276" w:lineRule="auto"/>
        <w:rPr>
          <w:rFonts w:asciiTheme="minorHAnsi" w:eastAsia="Times New Roman" w:hAnsiTheme="minorHAnsi"/>
          <w:szCs w:val="24"/>
          <w:lang w:eastAsia="it-IT"/>
        </w:rPr>
      </w:pPr>
    </w:p>
    <w:p w:rsidR="00D75551" w:rsidRDefault="00D75551" w:rsidP="00055F44">
      <w:pPr>
        <w:autoSpaceDE w:val="0"/>
        <w:autoSpaceDN w:val="0"/>
        <w:adjustRightInd w:val="0"/>
        <w:spacing w:after="0" w:line="276" w:lineRule="auto"/>
        <w:rPr>
          <w:rFonts w:asciiTheme="minorHAnsi" w:eastAsia="Times New Roman" w:hAnsiTheme="minorHAnsi"/>
          <w:szCs w:val="24"/>
          <w:lang w:eastAsia="it-IT"/>
        </w:rPr>
      </w:pPr>
    </w:p>
    <w:p w:rsidR="00A22568" w:rsidRPr="00DA7202" w:rsidRDefault="0040575D" w:rsidP="00055F44">
      <w:pPr>
        <w:autoSpaceDE w:val="0"/>
        <w:autoSpaceDN w:val="0"/>
        <w:adjustRightInd w:val="0"/>
        <w:spacing w:after="0" w:line="276" w:lineRule="auto"/>
        <w:rPr>
          <w:rFonts w:asciiTheme="minorHAnsi" w:eastAsia="Times New Roman" w:hAnsiTheme="minorHAnsi"/>
          <w:szCs w:val="24"/>
          <w:lang w:eastAsia="it-IT"/>
        </w:rPr>
      </w:pPr>
      <w:r w:rsidRPr="004D153A">
        <w:rPr>
          <w:rFonts w:asciiTheme="minorHAnsi" w:eastAsia="Times New Roman" w:hAnsiTheme="minorHAnsi"/>
          <w:szCs w:val="24"/>
          <w:lang w:eastAsia="it-IT"/>
        </w:rPr>
        <w:t xml:space="preserve">dello stesso sesso ed il suo riconoscimento giuridico. </w:t>
      </w:r>
      <w:r w:rsidR="004538C4" w:rsidRPr="004D153A">
        <w:rPr>
          <w:rFonts w:asciiTheme="minorHAnsi" w:eastAsia="Times New Roman" w:hAnsiTheme="minorHAnsi"/>
          <w:szCs w:val="24"/>
          <w:lang w:eastAsia="it-IT"/>
        </w:rPr>
        <w:t xml:space="preserve"> </w:t>
      </w:r>
      <w:r w:rsidR="00801759" w:rsidRPr="004D153A">
        <w:rPr>
          <w:rFonts w:asciiTheme="minorHAnsi" w:eastAsia="Times New Roman" w:hAnsiTheme="minorHAnsi"/>
          <w:szCs w:val="24"/>
          <w:lang w:eastAsia="it-IT"/>
        </w:rPr>
        <w:t xml:space="preserve">I giudici della Suprema </w:t>
      </w:r>
      <w:r w:rsidR="00AB1F22" w:rsidRPr="004D153A">
        <w:rPr>
          <w:rFonts w:asciiTheme="minorHAnsi" w:eastAsia="Times New Roman" w:hAnsiTheme="minorHAnsi"/>
          <w:szCs w:val="24"/>
          <w:lang w:eastAsia="it-IT"/>
        </w:rPr>
        <w:t xml:space="preserve">Corte, dopo aver chiarito che: </w:t>
      </w:r>
      <w:r w:rsidR="00801759" w:rsidRPr="004D153A">
        <w:rPr>
          <w:rFonts w:asciiTheme="minorHAnsi" w:eastAsia="Times New Roman" w:hAnsiTheme="minorHAnsi"/>
          <w:i/>
          <w:szCs w:val="24"/>
          <w:lang w:eastAsia="it-IT"/>
        </w:rPr>
        <w:t>"l’</w:t>
      </w:r>
      <w:proofErr w:type="spellStart"/>
      <w:r w:rsidR="00801759" w:rsidRPr="004D153A">
        <w:rPr>
          <w:rFonts w:asciiTheme="minorHAnsi" w:eastAsia="Times New Roman" w:hAnsiTheme="minorHAnsi"/>
          <w:i/>
          <w:szCs w:val="24"/>
          <w:lang w:eastAsia="it-IT"/>
        </w:rPr>
        <w:t>intrascrivibilità</w:t>
      </w:r>
      <w:proofErr w:type="spellEnd"/>
      <w:r w:rsidR="00801759" w:rsidRPr="004D153A">
        <w:rPr>
          <w:rFonts w:asciiTheme="minorHAnsi" w:eastAsia="Times New Roman" w:hAnsiTheme="minorHAnsi"/>
          <w:i/>
          <w:szCs w:val="24"/>
          <w:lang w:eastAsia="it-IT"/>
        </w:rPr>
        <w:t xml:space="preserve"> di tale atto dipende non già dalla sua contrarietà all’ordine pubblico, (...) ma dalla previa e più radicale ragione, riscontrabile anche dall’ufficiale dello stato civile in forza delle attribuzioni conferitegli della sua non riconoscibilità come atto di matrimonio nell’ordinamento giuridico italiano</w:t>
      </w:r>
      <w:r w:rsidR="00801759" w:rsidRPr="004D153A">
        <w:rPr>
          <w:rFonts w:asciiTheme="minorHAnsi" w:eastAsia="Times New Roman" w:hAnsiTheme="minorHAnsi"/>
          <w:szCs w:val="24"/>
          <w:lang w:eastAsia="it-IT"/>
        </w:rPr>
        <w:t>" (cfr.,  n. 2.2</w:t>
      </w:r>
      <w:r w:rsidR="001B1912" w:rsidRPr="004D153A">
        <w:rPr>
          <w:rFonts w:asciiTheme="minorHAnsi" w:eastAsia="Times New Roman" w:hAnsiTheme="minorHAnsi"/>
          <w:szCs w:val="24"/>
          <w:lang w:eastAsia="it-IT"/>
        </w:rPr>
        <w:t>.3</w:t>
      </w:r>
      <w:r w:rsidR="00801759" w:rsidRPr="004D153A">
        <w:rPr>
          <w:rFonts w:asciiTheme="minorHAnsi" w:eastAsia="Times New Roman" w:hAnsiTheme="minorHAnsi"/>
          <w:szCs w:val="24"/>
          <w:lang w:eastAsia="it-IT"/>
        </w:rPr>
        <w:t>),</w:t>
      </w:r>
      <w:r w:rsidR="001B1912" w:rsidRPr="004D153A">
        <w:rPr>
          <w:rFonts w:asciiTheme="minorHAnsi" w:eastAsia="Times New Roman" w:hAnsiTheme="minorHAnsi"/>
          <w:szCs w:val="24"/>
          <w:lang w:eastAsia="it-IT"/>
        </w:rPr>
        <w:t xml:space="preserve"> hanno sostenuto</w:t>
      </w:r>
      <w:r w:rsidR="0085017C" w:rsidRPr="004D153A">
        <w:rPr>
          <w:rFonts w:asciiTheme="minorHAnsi" w:eastAsia="Times New Roman" w:hAnsiTheme="minorHAnsi"/>
          <w:szCs w:val="24"/>
          <w:lang w:eastAsia="it-IT"/>
        </w:rPr>
        <w:t xml:space="preserve"> </w:t>
      </w:r>
      <w:r w:rsidR="002F3650" w:rsidRPr="004D153A">
        <w:rPr>
          <w:rFonts w:asciiTheme="minorHAnsi" w:eastAsia="Times New Roman" w:hAnsiTheme="minorHAnsi"/>
          <w:szCs w:val="24"/>
          <w:lang w:eastAsia="it-IT"/>
        </w:rPr>
        <w:t>che:</w:t>
      </w:r>
      <w:r w:rsidR="001B1912" w:rsidRPr="004D153A">
        <w:rPr>
          <w:rFonts w:asciiTheme="minorHAnsi" w:eastAsia="Times New Roman" w:hAnsiTheme="minorHAnsi"/>
          <w:szCs w:val="24"/>
          <w:lang w:eastAsia="it-IT"/>
        </w:rPr>
        <w:t xml:space="preserve"> </w:t>
      </w:r>
      <w:r w:rsidR="002F3650" w:rsidRPr="004D153A">
        <w:rPr>
          <w:rFonts w:asciiTheme="minorHAnsi" w:eastAsia="Times New Roman" w:hAnsiTheme="minorHAnsi"/>
          <w:i/>
          <w:szCs w:val="24"/>
          <w:lang w:eastAsia="it-IT"/>
        </w:rPr>
        <w:t>" I</w:t>
      </w:r>
      <w:r w:rsidR="002F3650" w:rsidRPr="004D153A">
        <w:rPr>
          <w:rFonts w:asciiTheme="minorHAnsi" w:eastAsia="Times New Roman" w:hAnsiTheme="minorHAnsi"/>
          <w:szCs w:val="24"/>
          <w:lang w:eastAsia="it-IT"/>
        </w:rPr>
        <w:t xml:space="preserve"> </w:t>
      </w:r>
      <w:r w:rsidR="002F3650" w:rsidRPr="004D153A">
        <w:rPr>
          <w:rFonts w:asciiTheme="minorHAnsi" w:eastAsia="Times New Roman" w:hAnsiTheme="minorHAnsi"/>
          <w:i/>
          <w:szCs w:val="24"/>
          <w:lang w:eastAsia="it-IT"/>
        </w:rPr>
        <w:t xml:space="preserve">componenti della coppia omosessuale, conviventi in stabile relazione di fatto, se - secondo la legislazione italiana - </w:t>
      </w:r>
    </w:p>
    <w:p w:rsidR="0000204D" w:rsidRPr="004D153A" w:rsidRDefault="002F3650" w:rsidP="00055F44">
      <w:pPr>
        <w:autoSpaceDE w:val="0"/>
        <w:autoSpaceDN w:val="0"/>
        <w:adjustRightInd w:val="0"/>
        <w:spacing w:after="0" w:line="276" w:lineRule="auto"/>
        <w:rPr>
          <w:rFonts w:asciiTheme="minorHAnsi" w:eastAsia="Times New Roman" w:hAnsiTheme="minorHAnsi"/>
          <w:i/>
          <w:szCs w:val="24"/>
          <w:lang w:eastAsia="it-IT"/>
        </w:rPr>
      </w:pPr>
      <w:r w:rsidRPr="004D153A">
        <w:rPr>
          <w:rFonts w:asciiTheme="minorHAnsi" w:eastAsia="Times New Roman" w:hAnsiTheme="minorHAnsi"/>
          <w:i/>
          <w:szCs w:val="24"/>
          <w:lang w:eastAsia="it-IT"/>
        </w:rPr>
        <w:t xml:space="preserve">non possono far valere né il diritto a contrarre matrimonio né il diritto alla trascrizione del matrimonio contratto all’estero, tuttavia - a prescindere dall’intervento del legislatore in materia -, quali titolari del diritto alla “vita familiare” e nell’esercizio del diritto inviolabile di vivere liberamente una condizione di coppia e del diritto alla tutela giurisdizionale di specifiche situazioni, segnatamente alla tutela di altri diritti fondamentali, possono adire i giudici comuni per far valere, in presenza appunto di “specifiche situazioni”, il diritto ad un trattamento omogeneo a quello assicurato dalla legge alla coppia coniugata e, in tale sede, eventualmente sollevare le conferenti eccezioni di illegittimità costituzionale delle disposizioni delle leggi vigenti, applicabili nelle singole fattispecie, in quanto ovvero nella parte in cui non assicurino detto trattamento, per assunta violazione delle pertinenti norme costituzionali e/o del principio di ragionevolezza" </w:t>
      </w:r>
      <w:r w:rsidRPr="004D153A">
        <w:rPr>
          <w:rFonts w:asciiTheme="minorHAnsi" w:eastAsia="Times New Roman" w:hAnsiTheme="minorHAnsi"/>
          <w:szCs w:val="24"/>
          <w:lang w:eastAsia="it-IT"/>
        </w:rPr>
        <w:t>(cfr.,  n. 4.2)</w:t>
      </w:r>
      <w:r w:rsidRPr="004D153A">
        <w:rPr>
          <w:rFonts w:asciiTheme="minorHAnsi" w:eastAsia="Times New Roman" w:hAnsiTheme="minorHAnsi"/>
          <w:i/>
          <w:szCs w:val="24"/>
          <w:lang w:eastAsia="it-IT"/>
        </w:rPr>
        <w:t xml:space="preserve"> .</w:t>
      </w:r>
    </w:p>
    <w:p w:rsidR="00602643" w:rsidRPr="004D153A" w:rsidRDefault="006F5979" w:rsidP="00055F44">
      <w:pPr>
        <w:autoSpaceDE w:val="0"/>
        <w:autoSpaceDN w:val="0"/>
        <w:adjustRightInd w:val="0"/>
        <w:spacing w:after="0" w:line="276" w:lineRule="auto"/>
        <w:rPr>
          <w:rFonts w:asciiTheme="minorHAnsi" w:eastAsia="Times New Roman" w:hAnsiTheme="minorHAnsi"/>
          <w:i/>
          <w:szCs w:val="24"/>
          <w:lang w:eastAsia="it-IT"/>
        </w:rPr>
      </w:pPr>
      <w:r w:rsidRPr="004D153A">
        <w:rPr>
          <w:rFonts w:asciiTheme="minorHAnsi" w:eastAsia="Times New Roman" w:hAnsiTheme="minorHAnsi"/>
          <w:i/>
          <w:szCs w:val="24"/>
          <w:lang w:eastAsia="it-IT"/>
        </w:rPr>
        <w:t xml:space="preserve"> </w:t>
      </w:r>
    </w:p>
    <w:p w:rsidR="00DA3730" w:rsidRPr="004D153A" w:rsidRDefault="00217D7D" w:rsidP="00055F44">
      <w:pPr>
        <w:autoSpaceDE w:val="0"/>
        <w:autoSpaceDN w:val="0"/>
        <w:adjustRightInd w:val="0"/>
        <w:spacing w:after="0" w:line="276" w:lineRule="auto"/>
        <w:rPr>
          <w:rFonts w:asciiTheme="minorHAnsi" w:hAnsiTheme="minorHAnsi"/>
          <w:i/>
          <w:szCs w:val="24"/>
        </w:rPr>
      </w:pPr>
      <w:r>
        <w:rPr>
          <w:rFonts w:asciiTheme="minorHAnsi" w:hAnsiTheme="minorHAnsi"/>
          <w:color w:val="000000" w:themeColor="text1"/>
          <w:szCs w:val="24"/>
        </w:rPr>
        <w:t>L</w:t>
      </w:r>
      <w:r w:rsidRPr="004D153A">
        <w:rPr>
          <w:rFonts w:asciiTheme="minorHAnsi" w:hAnsiTheme="minorHAnsi"/>
          <w:color w:val="000000" w:themeColor="text1"/>
          <w:szCs w:val="24"/>
        </w:rPr>
        <w:t xml:space="preserve">a Corte Costituzionale </w:t>
      </w:r>
      <w:r>
        <w:rPr>
          <w:rFonts w:asciiTheme="minorHAnsi" w:hAnsiTheme="minorHAnsi"/>
          <w:color w:val="000000" w:themeColor="text1"/>
          <w:szCs w:val="24"/>
        </w:rPr>
        <w:t xml:space="preserve">è nuovamente intervenuta </w:t>
      </w:r>
      <w:r w:rsidR="00624D39" w:rsidRPr="004D153A">
        <w:rPr>
          <w:rFonts w:asciiTheme="minorHAnsi" w:hAnsiTheme="minorHAnsi"/>
          <w:szCs w:val="24"/>
        </w:rPr>
        <w:t xml:space="preserve">con la </w:t>
      </w:r>
      <w:r>
        <w:rPr>
          <w:rFonts w:asciiTheme="minorHAnsi" w:hAnsiTheme="minorHAnsi"/>
          <w:szCs w:val="24"/>
        </w:rPr>
        <w:t xml:space="preserve">recente </w:t>
      </w:r>
      <w:hyperlink r:id="rId14" w:history="1">
        <w:r w:rsidR="00847ECD" w:rsidRPr="004D153A">
          <w:rPr>
            <w:rStyle w:val="Collegamentoipertestuale"/>
            <w:rFonts w:asciiTheme="minorHAnsi" w:hAnsiTheme="minorHAnsi"/>
            <w:i/>
            <w:szCs w:val="24"/>
          </w:rPr>
          <w:t>s</w:t>
        </w:r>
        <w:r w:rsidR="00624D39" w:rsidRPr="004D153A">
          <w:rPr>
            <w:rStyle w:val="Collegamentoipertestuale"/>
            <w:rFonts w:asciiTheme="minorHAnsi" w:hAnsiTheme="minorHAnsi"/>
            <w:i/>
            <w:szCs w:val="24"/>
          </w:rPr>
          <w:t>entenza n. 170 del 2014</w:t>
        </w:r>
      </w:hyperlink>
      <w:r>
        <w:t>,</w:t>
      </w:r>
      <w:r w:rsidR="00624D39" w:rsidRPr="004D153A">
        <w:rPr>
          <w:rFonts w:asciiTheme="minorHAnsi" w:hAnsiTheme="minorHAnsi"/>
          <w:i/>
          <w:color w:val="0070C0"/>
          <w:szCs w:val="24"/>
        </w:rPr>
        <w:t xml:space="preserve"> </w:t>
      </w:r>
      <w:r w:rsidR="00231B9C" w:rsidRPr="004D153A">
        <w:rPr>
          <w:rFonts w:asciiTheme="minorHAnsi" w:hAnsiTheme="minorHAnsi"/>
          <w:color w:val="000000" w:themeColor="text1"/>
          <w:szCs w:val="24"/>
        </w:rPr>
        <w:t xml:space="preserve">dichiarando </w:t>
      </w:r>
      <w:r w:rsidR="00231B9C" w:rsidRPr="004D153A">
        <w:rPr>
          <w:rFonts w:asciiTheme="minorHAnsi" w:hAnsiTheme="minorHAnsi"/>
          <w:szCs w:val="24"/>
        </w:rPr>
        <w:t xml:space="preserve">l’illegittimità costituzionale degli articoli 2 e 4 della legge 14 aprile 1982, n. 164 recante </w:t>
      </w:r>
      <w:r w:rsidR="00536631">
        <w:rPr>
          <w:rFonts w:asciiTheme="minorHAnsi" w:hAnsiTheme="minorHAnsi"/>
          <w:szCs w:val="24"/>
        </w:rPr>
        <w:t>"</w:t>
      </w:r>
      <w:r w:rsidR="00231B9C" w:rsidRPr="004D153A">
        <w:rPr>
          <w:rFonts w:asciiTheme="minorHAnsi" w:hAnsiTheme="minorHAnsi"/>
          <w:szCs w:val="24"/>
        </w:rPr>
        <w:t>Norme in materia di rettificazione di attribuzione di sesso</w:t>
      </w:r>
      <w:r w:rsidR="00536631">
        <w:rPr>
          <w:rFonts w:asciiTheme="minorHAnsi" w:hAnsiTheme="minorHAnsi"/>
          <w:szCs w:val="24"/>
        </w:rPr>
        <w:t>"</w:t>
      </w:r>
      <w:r w:rsidR="00231B9C" w:rsidRPr="004D153A">
        <w:rPr>
          <w:rFonts w:asciiTheme="minorHAnsi" w:hAnsiTheme="minorHAnsi"/>
          <w:szCs w:val="24"/>
        </w:rPr>
        <w:t>, nella parte in cui non prevedono che la sentenza di rettificazione dell’attribuzione di sesso di uno dei coniugi, che provoca lo scioglimento del matrimonio o la cessazione degli effetti civili conseguenti alla trascrizione del matrimonio, consenta, comunque, ove entrambi lo richiedano, di mantenere in vita un rapporto di coppia giuridicamente regolato con altra forma di convivenza registrata, che tuteli adeguatamente i diritti ed obblighi della coppia medesima, con le modalità da statuirsi dal legislatore</w:t>
      </w:r>
      <w:r w:rsidR="00231B9C" w:rsidRPr="004D153A">
        <w:rPr>
          <w:rFonts w:asciiTheme="minorHAnsi" w:hAnsiTheme="minorHAnsi"/>
          <w:color w:val="000000" w:themeColor="text1"/>
          <w:szCs w:val="24"/>
        </w:rPr>
        <w:t xml:space="preserve">. Con la predetta pronuncia il giudice delle </w:t>
      </w:r>
      <w:r w:rsidR="002025F4" w:rsidRPr="004D153A">
        <w:rPr>
          <w:rFonts w:asciiTheme="minorHAnsi" w:hAnsiTheme="minorHAnsi"/>
          <w:color w:val="000000" w:themeColor="text1"/>
          <w:szCs w:val="24"/>
        </w:rPr>
        <w:t xml:space="preserve">leggi, dopo aver richiamato la </w:t>
      </w:r>
      <w:r w:rsidR="00231B9C" w:rsidRPr="004D153A">
        <w:rPr>
          <w:rFonts w:asciiTheme="minorHAnsi" w:hAnsiTheme="minorHAnsi"/>
          <w:color w:val="000000" w:themeColor="text1"/>
          <w:szCs w:val="24"/>
        </w:rPr>
        <w:t>precedente</w:t>
      </w:r>
      <w:r w:rsidR="002025F4" w:rsidRPr="004D153A">
        <w:rPr>
          <w:rFonts w:asciiTheme="minorHAnsi" w:hAnsiTheme="minorHAnsi"/>
          <w:color w:val="000000" w:themeColor="text1"/>
          <w:szCs w:val="24"/>
        </w:rPr>
        <w:t xml:space="preserve"> sentenza 138 del 2010</w:t>
      </w:r>
      <w:r w:rsidR="00E97B4F" w:rsidRPr="004D153A">
        <w:rPr>
          <w:rFonts w:asciiTheme="minorHAnsi" w:hAnsiTheme="minorHAnsi"/>
          <w:color w:val="000000" w:themeColor="text1"/>
          <w:szCs w:val="24"/>
        </w:rPr>
        <w:t xml:space="preserve">, ha ribadito come sia </w:t>
      </w:r>
      <w:r w:rsidR="00E97B4F" w:rsidRPr="004D153A">
        <w:rPr>
          <w:rFonts w:asciiTheme="minorHAnsi" w:hAnsiTheme="minorHAnsi"/>
          <w:i/>
          <w:color w:val="000000" w:themeColor="text1"/>
          <w:szCs w:val="24"/>
        </w:rPr>
        <w:t>"</w:t>
      </w:r>
      <w:r w:rsidR="00E97B4F" w:rsidRPr="004D153A">
        <w:rPr>
          <w:rFonts w:asciiTheme="minorHAnsi" w:hAnsiTheme="minorHAnsi"/>
          <w:i/>
          <w:szCs w:val="24"/>
        </w:rPr>
        <w:t>quindi, compito del legislatore introdurre una forma alternativa (e diversa dal matrimonio) che consenta ai due coniugi di evitare il passaggio da uno stato di massima protezione giuridica ad una condizione, su tal piano, di assoluta indeterminatezza. E tal compito il legislatore è chiamato ad assolvere con la massima sollecitudine per superare la rilevata condizione di illegittimità della disciplina in esame per il profilo dell’attuale deficit di tutela dei diritti dei soggetti in essa coinvolti."</w:t>
      </w:r>
    </w:p>
    <w:p w:rsidR="00AE1980" w:rsidRPr="004D153A" w:rsidRDefault="00AE1980" w:rsidP="00055F44">
      <w:pPr>
        <w:autoSpaceDE w:val="0"/>
        <w:autoSpaceDN w:val="0"/>
        <w:adjustRightInd w:val="0"/>
        <w:spacing w:after="0" w:line="276" w:lineRule="auto"/>
        <w:rPr>
          <w:rFonts w:asciiTheme="minorHAnsi" w:hAnsiTheme="minorHAnsi"/>
          <w:i/>
          <w:szCs w:val="24"/>
        </w:rPr>
      </w:pPr>
    </w:p>
    <w:p w:rsidR="00590BD8" w:rsidRPr="004D153A" w:rsidRDefault="00590BD8" w:rsidP="00055F44">
      <w:pPr>
        <w:autoSpaceDE w:val="0"/>
        <w:autoSpaceDN w:val="0"/>
        <w:adjustRightInd w:val="0"/>
        <w:spacing w:after="0" w:line="276" w:lineRule="auto"/>
        <w:jc w:val="center"/>
        <w:rPr>
          <w:rFonts w:asciiTheme="minorHAnsi" w:hAnsiTheme="minorHAnsi"/>
          <w:color w:val="FF0000"/>
          <w:szCs w:val="24"/>
        </w:rPr>
      </w:pPr>
    </w:p>
    <w:p w:rsidR="00346F80" w:rsidRDefault="00346F80" w:rsidP="00055F44">
      <w:pPr>
        <w:pStyle w:val="Paragrafoelenco"/>
        <w:tabs>
          <w:tab w:val="left" w:pos="0"/>
          <w:tab w:val="left" w:pos="567"/>
        </w:tabs>
        <w:autoSpaceDE w:val="0"/>
        <w:autoSpaceDN w:val="0"/>
        <w:adjustRightInd w:val="0"/>
        <w:spacing w:after="0" w:line="276" w:lineRule="auto"/>
        <w:ind w:left="0"/>
        <w:rPr>
          <w:rFonts w:asciiTheme="minorHAnsi" w:hAnsiTheme="minorHAnsi"/>
          <w:color w:val="FF0000"/>
          <w:szCs w:val="24"/>
        </w:rPr>
      </w:pPr>
    </w:p>
    <w:p w:rsidR="00346F80" w:rsidRDefault="00346F80" w:rsidP="00055F44">
      <w:pPr>
        <w:pStyle w:val="Paragrafoelenco"/>
        <w:tabs>
          <w:tab w:val="left" w:pos="0"/>
          <w:tab w:val="left" w:pos="567"/>
        </w:tabs>
        <w:autoSpaceDE w:val="0"/>
        <w:autoSpaceDN w:val="0"/>
        <w:adjustRightInd w:val="0"/>
        <w:spacing w:after="0" w:line="276" w:lineRule="auto"/>
        <w:ind w:left="0"/>
        <w:rPr>
          <w:rFonts w:asciiTheme="minorHAnsi" w:hAnsiTheme="minorHAnsi"/>
          <w:color w:val="FF0000"/>
          <w:szCs w:val="24"/>
        </w:rPr>
      </w:pPr>
    </w:p>
    <w:p w:rsidR="00346F80" w:rsidRDefault="00346F80" w:rsidP="00055F44">
      <w:pPr>
        <w:pStyle w:val="Paragrafoelenco"/>
        <w:tabs>
          <w:tab w:val="left" w:pos="0"/>
          <w:tab w:val="left" w:pos="567"/>
        </w:tabs>
        <w:autoSpaceDE w:val="0"/>
        <w:autoSpaceDN w:val="0"/>
        <w:adjustRightInd w:val="0"/>
        <w:spacing w:after="0" w:line="276" w:lineRule="auto"/>
        <w:ind w:left="0"/>
        <w:rPr>
          <w:rFonts w:asciiTheme="minorHAnsi" w:hAnsiTheme="minorHAnsi"/>
          <w:color w:val="FF0000"/>
          <w:szCs w:val="24"/>
        </w:rPr>
      </w:pPr>
    </w:p>
    <w:p w:rsidR="00346F80" w:rsidRDefault="00346F80" w:rsidP="00055F44">
      <w:pPr>
        <w:pStyle w:val="Paragrafoelenco"/>
        <w:tabs>
          <w:tab w:val="left" w:pos="0"/>
          <w:tab w:val="left" w:pos="567"/>
        </w:tabs>
        <w:autoSpaceDE w:val="0"/>
        <w:autoSpaceDN w:val="0"/>
        <w:adjustRightInd w:val="0"/>
        <w:spacing w:after="0" w:line="276" w:lineRule="auto"/>
        <w:ind w:left="0"/>
        <w:rPr>
          <w:rFonts w:asciiTheme="minorHAnsi" w:hAnsiTheme="minorHAnsi"/>
          <w:color w:val="FF0000"/>
          <w:szCs w:val="24"/>
        </w:rPr>
      </w:pPr>
    </w:p>
    <w:p w:rsidR="00346F80" w:rsidRDefault="00346F80" w:rsidP="00055F44">
      <w:pPr>
        <w:pStyle w:val="Paragrafoelenco"/>
        <w:tabs>
          <w:tab w:val="left" w:pos="0"/>
          <w:tab w:val="left" w:pos="567"/>
        </w:tabs>
        <w:autoSpaceDE w:val="0"/>
        <w:autoSpaceDN w:val="0"/>
        <w:adjustRightInd w:val="0"/>
        <w:spacing w:after="0" w:line="276" w:lineRule="auto"/>
        <w:ind w:left="0"/>
        <w:rPr>
          <w:rFonts w:asciiTheme="minorHAnsi" w:hAnsiTheme="minorHAnsi"/>
          <w:color w:val="FF0000"/>
          <w:szCs w:val="24"/>
        </w:rPr>
      </w:pPr>
    </w:p>
    <w:p w:rsidR="00346F80" w:rsidRDefault="00346F80" w:rsidP="00055F44">
      <w:pPr>
        <w:pStyle w:val="Paragrafoelenco"/>
        <w:tabs>
          <w:tab w:val="left" w:pos="0"/>
          <w:tab w:val="left" w:pos="567"/>
        </w:tabs>
        <w:autoSpaceDE w:val="0"/>
        <w:autoSpaceDN w:val="0"/>
        <w:adjustRightInd w:val="0"/>
        <w:spacing w:after="0" w:line="276" w:lineRule="auto"/>
        <w:ind w:left="0"/>
        <w:rPr>
          <w:rFonts w:asciiTheme="minorHAnsi" w:hAnsiTheme="minorHAnsi"/>
          <w:color w:val="FF0000"/>
          <w:szCs w:val="24"/>
        </w:rPr>
      </w:pPr>
    </w:p>
    <w:p w:rsidR="00590BD8" w:rsidRPr="004D153A" w:rsidRDefault="00906F7C" w:rsidP="00055F44">
      <w:pPr>
        <w:pStyle w:val="Paragrafoelenco"/>
        <w:tabs>
          <w:tab w:val="left" w:pos="0"/>
          <w:tab w:val="left" w:pos="567"/>
        </w:tabs>
        <w:autoSpaceDE w:val="0"/>
        <w:autoSpaceDN w:val="0"/>
        <w:adjustRightInd w:val="0"/>
        <w:spacing w:after="0" w:line="276" w:lineRule="auto"/>
        <w:ind w:left="0"/>
        <w:rPr>
          <w:rFonts w:asciiTheme="minorHAnsi" w:hAnsiTheme="minorHAnsi"/>
          <w:color w:val="FF0000"/>
          <w:szCs w:val="24"/>
        </w:rPr>
      </w:pPr>
      <w:r w:rsidRPr="004D153A">
        <w:rPr>
          <w:rFonts w:asciiTheme="minorHAnsi" w:hAnsiTheme="minorHAnsi"/>
          <w:color w:val="FF0000"/>
          <w:szCs w:val="24"/>
        </w:rPr>
        <w:t xml:space="preserve">3. </w:t>
      </w:r>
      <w:r w:rsidR="00D65D41" w:rsidRPr="004D153A">
        <w:rPr>
          <w:rFonts w:asciiTheme="minorHAnsi" w:hAnsiTheme="minorHAnsi"/>
          <w:color w:val="FF0000"/>
          <w:szCs w:val="24"/>
        </w:rPr>
        <w:t>Il testo base all'esame della Commissione Giustizia del Senato</w:t>
      </w:r>
      <w:r w:rsidR="009B0FBE" w:rsidRPr="004D153A">
        <w:rPr>
          <w:rFonts w:asciiTheme="minorHAnsi" w:hAnsiTheme="minorHAnsi"/>
          <w:color w:val="FF0000"/>
          <w:szCs w:val="24"/>
        </w:rPr>
        <w:t>.</w:t>
      </w:r>
    </w:p>
    <w:p w:rsidR="00590BD8" w:rsidRPr="004D153A" w:rsidRDefault="00590BD8" w:rsidP="00055F44">
      <w:pPr>
        <w:autoSpaceDE w:val="0"/>
        <w:autoSpaceDN w:val="0"/>
        <w:adjustRightInd w:val="0"/>
        <w:spacing w:after="0" w:line="276" w:lineRule="auto"/>
        <w:jc w:val="center"/>
        <w:rPr>
          <w:rFonts w:asciiTheme="minorHAnsi" w:hAnsiTheme="minorHAnsi"/>
          <w:color w:val="FF0000"/>
          <w:szCs w:val="24"/>
        </w:rPr>
      </w:pPr>
    </w:p>
    <w:p w:rsidR="005A1582" w:rsidRPr="005A1582" w:rsidRDefault="00553132" w:rsidP="005A1582">
      <w:pPr>
        <w:pStyle w:val="s24"/>
        <w:rPr>
          <w:rFonts w:asciiTheme="minorHAnsi" w:hAnsiTheme="minorHAnsi"/>
        </w:rPr>
      </w:pPr>
      <w:r>
        <w:rPr>
          <w:rFonts w:asciiTheme="minorHAnsi" w:hAnsiTheme="minorHAnsi"/>
        </w:rPr>
        <w:t>Nel luglio 2013, l</w:t>
      </w:r>
      <w:r w:rsidR="00D63A64">
        <w:rPr>
          <w:rFonts w:asciiTheme="minorHAnsi" w:hAnsiTheme="minorHAnsi"/>
        </w:rPr>
        <w:t>a Commissione Giustizia del Senato ha iniziato l</w:t>
      </w:r>
      <w:r w:rsidR="00D63A64" w:rsidRPr="004D153A">
        <w:rPr>
          <w:rFonts w:asciiTheme="minorHAnsi" w:hAnsiTheme="minorHAnsi"/>
        </w:rPr>
        <w:t xml:space="preserve">'esame </w:t>
      </w:r>
      <w:r>
        <w:rPr>
          <w:rFonts w:asciiTheme="minorHAnsi" w:hAnsiTheme="minorHAnsi"/>
        </w:rPr>
        <w:t xml:space="preserve">di undici disegni di legge in materia di </w:t>
      </w:r>
      <w:r w:rsidR="00D63A64" w:rsidRPr="004D153A">
        <w:rPr>
          <w:rFonts w:asciiTheme="minorHAnsi" w:hAnsiTheme="minorHAnsi"/>
        </w:rPr>
        <w:t>unioni civili e convivenze di fatto</w:t>
      </w:r>
      <w:r w:rsidR="005A1582" w:rsidRPr="005A1582">
        <w:rPr>
          <w:rStyle w:val="IntestazioneCarattere"/>
          <w:b/>
          <w:bCs/>
        </w:rPr>
        <w:t xml:space="preserve"> </w:t>
      </w:r>
      <w:r w:rsidR="005A1582" w:rsidRPr="005A1582">
        <w:rPr>
          <w:rFonts w:asciiTheme="minorHAnsi" w:hAnsiTheme="minorHAnsi"/>
        </w:rPr>
        <w:t xml:space="preserve">e di tre disegni di legge sull'estensione del matrimonio civile fra persone dello stesso sesso. </w:t>
      </w:r>
    </w:p>
    <w:p w:rsidR="00553132" w:rsidRDefault="005A1582" w:rsidP="005A1582">
      <w:pPr>
        <w:pStyle w:val="s24"/>
        <w:rPr>
          <w:rFonts w:asciiTheme="minorHAnsi" w:hAnsiTheme="minorHAnsi"/>
        </w:rPr>
      </w:pPr>
      <w:r w:rsidRPr="005A1582">
        <w:rPr>
          <w:rFonts w:asciiTheme="minorHAnsi" w:hAnsiTheme="minorHAnsi"/>
        </w:rPr>
        <w:t>Nel luglio 2014 la Commissione ha deciso di accantonare i ddl sul matrimonio e ha dato mandato alla relatrice di definire un testo unificato a partire dalle altre proposte</w:t>
      </w:r>
      <w:r>
        <w:rPr>
          <w:b/>
          <w:bCs/>
        </w:rPr>
        <w:t>.</w:t>
      </w:r>
    </w:p>
    <w:p w:rsidR="00D63A64" w:rsidRPr="004D153A" w:rsidRDefault="00D63A64" w:rsidP="00D63A64">
      <w:pPr>
        <w:spacing w:after="0" w:line="276" w:lineRule="auto"/>
        <w:rPr>
          <w:rFonts w:asciiTheme="minorHAnsi" w:hAnsiTheme="minorHAnsi"/>
          <w:szCs w:val="24"/>
        </w:rPr>
      </w:pPr>
      <w:r w:rsidRPr="004D153A">
        <w:rPr>
          <w:rFonts w:asciiTheme="minorHAnsi" w:hAnsiTheme="minorHAnsi"/>
          <w:szCs w:val="24"/>
        </w:rPr>
        <w:t>A seguito di un ciclo di audizioni</w:t>
      </w:r>
      <w:r w:rsidR="00553132">
        <w:rPr>
          <w:rFonts w:asciiTheme="minorHAnsi" w:hAnsiTheme="minorHAnsi"/>
          <w:szCs w:val="24"/>
        </w:rPr>
        <w:t>,</w:t>
      </w:r>
      <w:r w:rsidRPr="004D153A">
        <w:rPr>
          <w:rFonts w:asciiTheme="minorHAnsi" w:hAnsiTheme="minorHAnsi"/>
          <w:szCs w:val="24"/>
        </w:rPr>
        <w:t xml:space="preserve"> </w:t>
      </w:r>
      <w:r w:rsidR="00553132" w:rsidRPr="00536631">
        <w:rPr>
          <w:rFonts w:asciiTheme="minorHAnsi" w:hAnsiTheme="minorHAnsi"/>
          <w:szCs w:val="24"/>
        </w:rPr>
        <w:t>Il 26 marzo 2015</w:t>
      </w:r>
      <w:r w:rsidR="00553132">
        <w:rPr>
          <w:rFonts w:asciiTheme="minorHAnsi" w:hAnsiTheme="minorHAnsi"/>
          <w:szCs w:val="24"/>
        </w:rPr>
        <w:t xml:space="preserve">, </w:t>
      </w:r>
      <w:r w:rsidR="00553132" w:rsidRPr="00536631">
        <w:rPr>
          <w:rFonts w:asciiTheme="minorHAnsi" w:hAnsiTheme="minorHAnsi"/>
          <w:szCs w:val="24"/>
        </w:rPr>
        <w:t xml:space="preserve">la Commissione </w:t>
      </w:r>
      <w:r w:rsidR="00553132">
        <w:rPr>
          <w:rFonts w:asciiTheme="minorHAnsi" w:hAnsiTheme="minorHAnsi"/>
          <w:szCs w:val="24"/>
        </w:rPr>
        <w:t>ha adottato il testo base proposto dal</w:t>
      </w:r>
      <w:r w:rsidRPr="004D153A">
        <w:rPr>
          <w:rFonts w:asciiTheme="minorHAnsi" w:hAnsiTheme="minorHAnsi"/>
          <w:szCs w:val="24"/>
        </w:rPr>
        <w:t>la Relatrice</w:t>
      </w:r>
      <w:r w:rsidR="00553132">
        <w:rPr>
          <w:rFonts w:asciiTheme="minorHAnsi" w:hAnsiTheme="minorHAnsi"/>
          <w:szCs w:val="24"/>
        </w:rPr>
        <w:t xml:space="preserve">, </w:t>
      </w:r>
      <w:r w:rsidRPr="004D153A">
        <w:rPr>
          <w:rFonts w:asciiTheme="minorHAnsi" w:hAnsiTheme="minorHAnsi"/>
          <w:szCs w:val="24"/>
        </w:rPr>
        <w:t xml:space="preserve">con il voto favorevole del gruppo Pd, Movimento 5 stelle, Misto e Autonomie.  </w:t>
      </w:r>
      <w:r w:rsidR="00553132">
        <w:rPr>
          <w:rFonts w:asciiTheme="minorHAnsi" w:hAnsiTheme="minorHAnsi"/>
          <w:szCs w:val="24"/>
        </w:rPr>
        <w:t>Il testo si compone di due Titoli:</w:t>
      </w:r>
    </w:p>
    <w:p w:rsidR="00D63A64" w:rsidRDefault="00D63A64" w:rsidP="00536631">
      <w:pPr>
        <w:spacing w:after="0" w:line="276" w:lineRule="auto"/>
        <w:rPr>
          <w:rFonts w:asciiTheme="minorHAnsi" w:hAnsiTheme="minorHAnsi"/>
          <w:szCs w:val="24"/>
        </w:rPr>
      </w:pPr>
    </w:p>
    <w:p w:rsidR="00536631" w:rsidRPr="00A22568" w:rsidRDefault="00A22568" w:rsidP="00A22568">
      <w:pPr>
        <w:pStyle w:val="Paragrafoelenco"/>
        <w:numPr>
          <w:ilvl w:val="0"/>
          <w:numId w:val="6"/>
        </w:numPr>
        <w:spacing w:after="0" w:line="276" w:lineRule="auto"/>
        <w:rPr>
          <w:rFonts w:asciiTheme="minorHAnsi" w:hAnsiTheme="minorHAnsi"/>
          <w:szCs w:val="24"/>
        </w:rPr>
      </w:pPr>
      <w:r>
        <w:rPr>
          <w:rFonts w:asciiTheme="minorHAnsi" w:hAnsiTheme="minorHAnsi"/>
          <w:szCs w:val="24"/>
        </w:rPr>
        <w:t>i</w:t>
      </w:r>
      <w:r w:rsidR="00D63A64" w:rsidRPr="00A22568">
        <w:rPr>
          <w:rFonts w:asciiTheme="minorHAnsi" w:hAnsiTheme="minorHAnsi"/>
          <w:szCs w:val="24"/>
        </w:rPr>
        <w:t>l primo Titolo disc</w:t>
      </w:r>
      <w:r w:rsidR="00536631" w:rsidRPr="00A22568">
        <w:rPr>
          <w:rFonts w:asciiTheme="minorHAnsi" w:hAnsiTheme="minorHAnsi"/>
          <w:szCs w:val="24"/>
        </w:rPr>
        <w:t>iplina le unioni civili tra persone dello stesso sesso, introducendo un istituto originario, distinto dal matrimonio e fondato sull'articolo 2 della Costituzione, escludendo, conseguentemente, l'applicazione di aspetti più specificamente simbolici legati al matrimonio.</w:t>
      </w:r>
    </w:p>
    <w:p w:rsidR="0062352A" w:rsidRDefault="0062352A" w:rsidP="00055F44">
      <w:pPr>
        <w:spacing w:after="0" w:line="276" w:lineRule="auto"/>
        <w:rPr>
          <w:rFonts w:asciiTheme="minorHAnsi" w:eastAsia="Times New Roman" w:hAnsiTheme="minorHAnsi"/>
          <w:szCs w:val="24"/>
          <w:lang w:eastAsia="it-IT"/>
        </w:rPr>
      </w:pPr>
    </w:p>
    <w:p w:rsidR="007D7A29" w:rsidRPr="004D153A" w:rsidRDefault="007D7A29" w:rsidP="00055F44">
      <w:pPr>
        <w:spacing w:after="0" w:line="276" w:lineRule="auto"/>
        <w:rPr>
          <w:rFonts w:asciiTheme="minorHAnsi" w:eastAsia="Times New Roman" w:hAnsiTheme="minorHAnsi"/>
          <w:szCs w:val="24"/>
          <w:lang w:eastAsia="it-IT"/>
        </w:rPr>
      </w:pPr>
      <w:r w:rsidRPr="004D153A">
        <w:rPr>
          <w:rFonts w:asciiTheme="minorHAnsi" w:eastAsia="Times New Roman" w:hAnsiTheme="minorHAnsi"/>
          <w:szCs w:val="24"/>
          <w:lang w:eastAsia="it-IT"/>
        </w:rPr>
        <w:t>L'istituto riconosce alla coppia</w:t>
      </w:r>
      <w:r w:rsidR="009B0FBE" w:rsidRPr="004D153A">
        <w:rPr>
          <w:rFonts w:asciiTheme="minorHAnsi" w:eastAsia="Times New Roman" w:hAnsiTheme="minorHAnsi"/>
          <w:szCs w:val="24"/>
          <w:lang w:eastAsia="it-IT"/>
        </w:rPr>
        <w:t>,</w:t>
      </w:r>
      <w:r w:rsidRPr="004D153A">
        <w:rPr>
          <w:rFonts w:asciiTheme="minorHAnsi" w:eastAsia="Times New Roman" w:hAnsiTheme="minorHAnsi"/>
          <w:szCs w:val="24"/>
          <w:lang w:eastAsia="it-IT"/>
        </w:rPr>
        <w:t xml:space="preserve"> oltre che una serie di diritti</w:t>
      </w:r>
      <w:r w:rsidR="00332554" w:rsidRPr="004D153A">
        <w:rPr>
          <w:rFonts w:asciiTheme="minorHAnsi" w:eastAsia="Times New Roman" w:hAnsiTheme="minorHAnsi"/>
          <w:szCs w:val="24"/>
          <w:lang w:eastAsia="it-IT"/>
        </w:rPr>
        <w:t xml:space="preserve"> sociali richiesti dalla giurisprudenza comunitaria</w:t>
      </w:r>
      <w:r w:rsidRPr="004D153A">
        <w:rPr>
          <w:rFonts w:asciiTheme="minorHAnsi" w:eastAsia="Times New Roman" w:hAnsiTheme="minorHAnsi"/>
          <w:szCs w:val="24"/>
          <w:lang w:eastAsia="it-IT"/>
        </w:rPr>
        <w:t xml:space="preserve"> quali</w:t>
      </w:r>
      <w:r w:rsidR="00536631">
        <w:rPr>
          <w:rFonts w:asciiTheme="minorHAnsi" w:eastAsia="Times New Roman" w:hAnsiTheme="minorHAnsi"/>
          <w:szCs w:val="24"/>
          <w:lang w:eastAsia="it-IT"/>
        </w:rPr>
        <w:t xml:space="preserve"> l'</w:t>
      </w:r>
      <w:r w:rsidRPr="004D153A">
        <w:rPr>
          <w:rFonts w:asciiTheme="minorHAnsi" w:eastAsia="Times New Roman" w:hAnsiTheme="minorHAnsi"/>
          <w:szCs w:val="24"/>
          <w:lang w:eastAsia="it-IT"/>
        </w:rPr>
        <w:t xml:space="preserve">assistenza sanitaria, carceraria, </w:t>
      </w:r>
      <w:r w:rsidR="00204313" w:rsidRPr="004D153A">
        <w:rPr>
          <w:rFonts w:asciiTheme="minorHAnsi" w:eastAsia="Times New Roman" w:hAnsiTheme="minorHAnsi"/>
          <w:szCs w:val="24"/>
          <w:lang w:eastAsia="it-IT"/>
        </w:rPr>
        <w:t>regime patrimoniale, diritti successori</w:t>
      </w:r>
      <w:r w:rsidRPr="004D153A">
        <w:rPr>
          <w:rFonts w:asciiTheme="minorHAnsi" w:eastAsia="Times New Roman" w:hAnsiTheme="minorHAnsi"/>
          <w:szCs w:val="24"/>
          <w:lang w:eastAsia="it-IT"/>
        </w:rPr>
        <w:t xml:space="preserve">, </w:t>
      </w:r>
      <w:r w:rsidR="0021250F" w:rsidRPr="004D153A">
        <w:rPr>
          <w:rFonts w:asciiTheme="minorHAnsi" w:eastAsia="Times New Roman" w:hAnsiTheme="minorHAnsi"/>
          <w:szCs w:val="24"/>
          <w:lang w:eastAsia="it-IT"/>
        </w:rPr>
        <w:t xml:space="preserve">amministrazione di sostegno, </w:t>
      </w:r>
      <w:r w:rsidRPr="004D153A">
        <w:rPr>
          <w:rFonts w:asciiTheme="minorHAnsi" w:eastAsia="Times New Roman" w:hAnsiTheme="minorHAnsi"/>
          <w:szCs w:val="24"/>
          <w:lang w:eastAsia="it-IT"/>
        </w:rPr>
        <w:t>reversibilità della pensione, anche i doveri previsti per le coppie coniugate</w:t>
      </w:r>
      <w:r w:rsidR="00204313" w:rsidRPr="004D153A">
        <w:rPr>
          <w:rFonts w:asciiTheme="minorHAnsi" w:eastAsia="Times New Roman" w:hAnsiTheme="minorHAnsi"/>
          <w:szCs w:val="24"/>
          <w:lang w:eastAsia="it-IT"/>
        </w:rPr>
        <w:t>, quali ad esempio quelli in materia di alimenti ai sensi del Titolo XII</w:t>
      </w:r>
      <w:r w:rsidR="006275D8" w:rsidRPr="004D153A">
        <w:rPr>
          <w:rFonts w:asciiTheme="minorHAnsi" w:eastAsia="Times New Roman" w:hAnsiTheme="minorHAnsi"/>
          <w:szCs w:val="24"/>
          <w:lang w:eastAsia="it-IT"/>
        </w:rPr>
        <w:t>I del codice civil</w:t>
      </w:r>
      <w:r w:rsidR="009605C2" w:rsidRPr="004D153A">
        <w:rPr>
          <w:rFonts w:asciiTheme="minorHAnsi" w:eastAsia="Times New Roman" w:hAnsiTheme="minorHAnsi"/>
          <w:szCs w:val="24"/>
          <w:lang w:eastAsia="it-IT"/>
        </w:rPr>
        <w:t>e</w:t>
      </w:r>
      <w:r w:rsidRPr="004D153A">
        <w:rPr>
          <w:rFonts w:asciiTheme="minorHAnsi" w:eastAsia="Times New Roman" w:hAnsiTheme="minorHAnsi"/>
          <w:szCs w:val="24"/>
          <w:lang w:eastAsia="it-IT"/>
        </w:rPr>
        <w:t xml:space="preserve">. In </w:t>
      </w:r>
      <w:r w:rsidR="000D7335" w:rsidRPr="004D153A">
        <w:rPr>
          <w:rFonts w:asciiTheme="minorHAnsi" w:eastAsia="Times New Roman" w:hAnsiTheme="minorHAnsi"/>
          <w:szCs w:val="24"/>
          <w:lang w:eastAsia="it-IT"/>
        </w:rPr>
        <w:t xml:space="preserve">materia di adozione è prevista </w:t>
      </w:r>
      <w:r w:rsidR="000D7335" w:rsidRPr="00493324">
        <w:rPr>
          <w:rFonts w:asciiTheme="minorHAnsi" w:eastAsia="Times New Roman" w:hAnsiTheme="minorHAnsi"/>
          <w:szCs w:val="24"/>
          <w:lang w:eastAsia="it-IT"/>
        </w:rPr>
        <w:t>la sola</w:t>
      </w:r>
      <w:r w:rsidRPr="00493324">
        <w:rPr>
          <w:rFonts w:asciiTheme="minorHAnsi" w:eastAsia="Times New Roman" w:hAnsiTheme="minorHAnsi"/>
          <w:szCs w:val="24"/>
          <w:lang w:eastAsia="it-IT"/>
        </w:rPr>
        <w:t xml:space="preserve"> facoltà, già prevista per il coniuge, di adottare il figlio del partner ai sensi della lettera b), comma 1, articolo 44 della legge 4 maggio 1983, n. 184</w:t>
      </w:r>
      <w:r w:rsidRPr="004D153A">
        <w:rPr>
          <w:rFonts w:asciiTheme="minorHAnsi" w:eastAsia="Times New Roman" w:hAnsiTheme="minorHAnsi"/>
          <w:szCs w:val="24"/>
          <w:lang w:eastAsia="it-IT"/>
        </w:rPr>
        <w:t xml:space="preserve">, c.d. adozione speciale.  Tale facoltà, nota con il nome di </w:t>
      </w:r>
      <w:proofErr w:type="spellStart"/>
      <w:r w:rsidRPr="00536631">
        <w:rPr>
          <w:rFonts w:asciiTheme="minorHAnsi" w:eastAsia="Times New Roman" w:hAnsiTheme="minorHAnsi"/>
          <w:i/>
          <w:szCs w:val="24"/>
          <w:lang w:eastAsia="it-IT"/>
        </w:rPr>
        <w:t>stepchild</w:t>
      </w:r>
      <w:proofErr w:type="spellEnd"/>
      <w:r w:rsidRPr="00536631">
        <w:rPr>
          <w:rFonts w:asciiTheme="minorHAnsi" w:eastAsia="Times New Roman" w:hAnsiTheme="minorHAnsi"/>
          <w:i/>
          <w:szCs w:val="24"/>
          <w:lang w:eastAsia="it-IT"/>
        </w:rPr>
        <w:t xml:space="preserve"> </w:t>
      </w:r>
      <w:proofErr w:type="spellStart"/>
      <w:r w:rsidRPr="00536631">
        <w:rPr>
          <w:rFonts w:asciiTheme="minorHAnsi" w:eastAsia="Times New Roman" w:hAnsiTheme="minorHAnsi"/>
          <w:i/>
          <w:szCs w:val="24"/>
          <w:lang w:eastAsia="it-IT"/>
        </w:rPr>
        <w:t>adoption</w:t>
      </w:r>
      <w:proofErr w:type="spellEnd"/>
      <w:r w:rsidRPr="004D153A">
        <w:rPr>
          <w:rFonts w:asciiTheme="minorHAnsi" w:eastAsia="Times New Roman" w:hAnsiTheme="minorHAnsi"/>
          <w:szCs w:val="24"/>
          <w:lang w:eastAsia="it-IT"/>
        </w:rPr>
        <w:t>, è consentita, oltre che in Paesi dove è pos</w:t>
      </w:r>
      <w:r w:rsidR="0021250F" w:rsidRPr="004D153A">
        <w:rPr>
          <w:rFonts w:asciiTheme="minorHAnsi" w:eastAsia="Times New Roman" w:hAnsiTheme="minorHAnsi"/>
          <w:szCs w:val="24"/>
          <w:lang w:eastAsia="it-IT"/>
        </w:rPr>
        <w:t>sibile per le coppie composte da persone dello stesso sesso</w:t>
      </w:r>
      <w:r w:rsidRPr="004D153A">
        <w:rPr>
          <w:rFonts w:asciiTheme="minorHAnsi" w:eastAsia="Times New Roman" w:hAnsiTheme="minorHAnsi"/>
          <w:szCs w:val="24"/>
          <w:lang w:eastAsia="it-IT"/>
        </w:rPr>
        <w:t xml:space="preserve"> ricorrere all'adozione</w:t>
      </w:r>
      <w:r w:rsidR="00314866" w:rsidRPr="004D153A">
        <w:rPr>
          <w:rFonts w:asciiTheme="minorHAnsi" w:eastAsia="Times New Roman" w:hAnsiTheme="minorHAnsi"/>
          <w:szCs w:val="24"/>
          <w:lang w:eastAsia="it-IT"/>
        </w:rPr>
        <w:t xml:space="preserve"> congiunta</w:t>
      </w:r>
      <w:r w:rsidRPr="004D153A">
        <w:rPr>
          <w:rFonts w:asciiTheme="minorHAnsi" w:eastAsia="Times New Roman" w:hAnsiTheme="minorHAnsi"/>
          <w:szCs w:val="24"/>
          <w:lang w:eastAsia="it-IT"/>
        </w:rPr>
        <w:t>, come Spagna, Svezia, Norvegia,</w:t>
      </w:r>
      <w:r w:rsidR="008557C1" w:rsidRPr="004D153A">
        <w:rPr>
          <w:rFonts w:asciiTheme="minorHAnsi" w:eastAsia="Times New Roman" w:hAnsiTheme="minorHAnsi"/>
          <w:szCs w:val="24"/>
          <w:lang w:eastAsia="it-IT"/>
        </w:rPr>
        <w:t xml:space="preserve"> Danimarca, Belgio, </w:t>
      </w:r>
      <w:r w:rsidRPr="004D153A">
        <w:rPr>
          <w:rFonts w:asciiTheme="minorHAnsi" w:eastAsia="Times New Roman" w:hAnsiTheme="minorHAnsi"/>
          <w:szCs w:val="24"/>
          <w:lang w:eastAsia="it-IT"/>
        </w:rPr>
        <w:t>Francia</w:t>
      </w:r>
      <w:r w:rsidR="008557C1" w:rsidRPr="004D153A">
        <w:rPr>
          <w:rFonts w:asciiTheme="minorHAnsi" w:eastAsia="Times New Roman" w:hAnsiTheme="minorHAnsi"/>
          <w:szCs w:val="24"/>
          <w:lang w:eastAsia="it-IT"/>
        </w:rPr>
        <w:t xml:space="preserve"> e da ultim</w:t>
      </w:r>
      <w:r w:rsidR="00314866" w:rsidRPr="004D153A">
        <w:rPr>
          <w:rFonts w:asciiTheme="minorHAnsi" w:eastAsia="Times New Roman" w:hAnsiTheme="minorHAnsi"/>
          <w:szCs w:val="24"/>
          <w:lang w:eastAsia="it-IT"/>
        </w:rPr>
        <w:t>e</w:t>
      </w:r>
      <w:r w:rsidR="008557C1" w:rsidRPr="004D153A">
        <w:rPr>
          <w:rFonts w:asciiTheme="minorHAnsi" w:eastAsia="Times New Roman" w:hAnsiTheme="minorHAnsi"/>
          <w:szCs w:val="24"/>
          <w:lang w:eastAsia="it-IT"/>
        </w:rPr>
        <w:t xml:space="preserve"> l'Austria</w:t>
      </w:r>
      <w:r w:rsidR="00314866" w:rsidRPr="004D153A">
        <w:rPr>
          <w:rFonts w:asciiTheme="minorHAnsi" w:eastAsia="Times New Roman" w:hAnsiTheme="minorHAnsi"/>
          <w:szCs w:val="24"/>
          <w:lang w:eastAsia="it-IT"/>
        </w:rPr>
        <w:t xml:space="preserve"> e l'Irlanda</w:t>
      </w:r>
      <w:r w:rsidRPr="004D153A">
        <w:rPr>
          <w:rFonts w:asciiTheme="minorHAnsi" w:eastAsia="Times New Roman" w:hAnsiTheme="minorHAnsi"/>
          <w:szCs w:val="24"/>
          <w:lang w:eastAsia="it-IT"/>
        </w:rPr>
        <w:t>, anche in Paesi come Germania, Finlandia e Groenlandia</w:t>
      </w:r>
      <w:r w:rsidR="006275D8" w:rsidRPr="004D153A">
        <w:rPr>
          <w:rStyle w:val="Rimandonotaapidipagina"/>
          <w:rFonts w:asciiTheme="minorHAnsi" w:eastAsia="Times New Roman" w:hAnsiTheme="minorHAnsi"/>
          <w:szCs w:val="24"/>
          <w:lang w:eastAsia="it-IT"/>
        </w:rPr>
        <w:footnoteReference w:id="3"/>
      </w:r>
      <w:r w:rsidRPr="004D153A">
        <w:rPr>
          <w:rFonts w:asciiTheme="minorHAnsi" w:eastAsia="Times New Roman" w:hAnsiTheme="minorHAnsi"/>
          <w:szCs w:val="24"/>
          <w:lang w:eastAsia="it-IT"/>
        </w:rPr>
        <w:t xml:space="preserve"> che, pur precludendo l'accesso per le coppie omosessuali all'istituto dell'adozione</w:t>
      </w:r>
      <w:r w:rsidR="008557C1" w:rsidRPr="004D153A">
        <w:rPr>
          <w:rFonts w:asciiTheme="minorHAnsi" w:eastAsia="Times New Roman" w:hAnsiTheme="minorHAnsi"/>
          <w:szCs w:val="24"/>
          <w:lang w:eastAsia="it-IT"/>
        </w:rPr>
        <w:t xml:space="preserve"> congiunta</w:t>
      </w:r>
      <w:r w:rsidRPr="004D153A">
        <w:rPr>
          <w:rFonts w:asciiTheme="minorHAnsi" w:eastAsia="Times New Roman" w:hAnsiTheme="minorHAnsi"/>
          <w:szCs w:val="24"/>
          <w:lang w:eastAsia="it-IT"/>
        </w:rPr>
        <w:t>, consentono, comunque, nell'ottica della tutela prevalente del diritto del minore a godere di una stabilità affettiva, di ricorrere all'adozione del figlio da parte del partner</w:t>
      </w:r>
      <w:r w:rsidR="00553132">
        <w:rPr>
          <w:rFonts w:asciiTheme="minorHAnsi" w:eastAsia="Times New Roman" w:hAnsiTheme="minorHAnsi"/>
          <w:szCs w:val="24"/>
          <w:lang w:eastAsia="it-IT"/>
        </w:rPr>
        <w:t>;</w:t>
      </w:r>
      <w:r w:rsidR="00332554" w:rsidRPr="004D153A">
        <w:rPr>
          <w:rFonts w:asciiTheme="minorHAnsi" w:eastAsia="Times New Roman" w:hAnsiTheme="minorHAnsi"/>
          <w:szCs w:val="24"/>
          <w:lang w:eastAsia="it-IT"/>
        </w:rPr>
        <w:t xml:space="preserve"> </w:t>
      </w:r>
    </w:p>
    <w:p w:rsidR="00CD3B85" w:rsidRPr="004D153A" w:rsidRDefault="00CD3B85" w:rsidP="00055F44">
      <w:pPr>
        <w:spacing w:after="0" w:line="276" w:lineRule="auto"/>
        <w:rPr>
          <w:rFonts w:asciiTheme="minorHAnsi" w:eastAsia="Times New Roman" w:hAnsiTheme="minorHAnsi"/>
          <w:szCs w:val="24"/>
          <w:lang w:eastAsia="it-IT"/>
        </w:rPr>
      </w:pPr>
    </w:p>
    <w:p w:rsidR="00493324" w:rsidRDefault="006B14B3" w:rsidP="006B14B3">
      <w:pPr>
        <w:pStyle w:val="Paragrafoelenco"/>
        <w:numPr>
          <w:ilvl w:val="0"/>
          <w:numId w:val="6"/>
        </w:numPr>
        <w:spacing w:after="0" w:line="276" w:lineRule="auto"/>
        <w:rPr>
          <w:rFonts w:asciiTheme="minorHAnsi" w:eastAsia="Times New Roman" w:hAnsiTheme="minorHAnsi"/>
          <w:szCs w:val="24"/>
          <w:lang w:eastAsia="it-IT"/>
        </w:rPr>
      </w:pPr>
      <w:r>
        <w:rPr>
          <w:rFonts w:asciiTheme="minorHAnsi" w:eastAsia="Times New Roman" w:hAnsiTheme="minorHAnsi"/>
          <w:szCs w:val="24"/>
          <w:lang w:eastAsia="it-IT"/>
        </w:rPr>
        <w:t>i</w:t>
      </w:r>
      <w:r w:rsidR="00EA1515" w:rsidRPr="006B14B3">
        <w:rPr>
          <w:rFonts w:asciiTheme="minorHAnsi" w:eastAsia="Times New Roman" w:hAnsiTheme="minorHAnsi"/>
          <w:szCs w:val="24"/>
          <w:lang w:eastAsia="it-IT"/>
        </w:rPr>
        <w:t xml:space="preserve">l </w:t>
      </w:r>
      <w:r w:rsidR="00D63A64" w:rsidRPr="006B14B3">
        <w:rPr>
          <w:rFonts w:asciiTheme="minorHAnsi" w:eastAsia="Times New Roman" w:hAnsiTheme="minorHAnsi"/>
          <w:szCs w:val="24"/>
          <w:lang w:eastAsia="it-IT"/>
        </w:rPr>
        <w:t xml:space="preserve">secondo </w:t>
      </w:r>
      <w:r w:rsidR="00553132" w:rsidRPr="006B14B3">
        <w:rPr>
          <w:rFonts w:asciiTheme="minorHAnsi" w:eastAsia="Times New Roman" w:hAnsiTheme="minorHAnsi"/>
          <w:szCs w:val="24"/>
          <w:lang w:eastAsia="it-IT"/>
        </w:rPr>
        <w:t>T</w:t>
      </w:r>
      <w:r w:rsidR="00D63A64" w:rsidRPr="006B14B3">
        <w:rPr>
          <w:rFonts w:asciiTheme="minorHAnsi" w:eastAsia="Times New Roman" w:hAnsiTheme="minorHAnsi"/>
          <w:szCs w:val="24"/>
          <w:lang w:eastAsia="it-IT"/>
        </w:rPr>
        <w:t>itolo</w:t>
      </w:r>
      <w:r w:rsidR="00EA1515" w:rsidRPr="006B14B3">
        <w:rPr>
          <w:rFonts w:asciiTheme="minorHAnsi" w:eastAsia="Times New Roman" w:hAnsiTheme="minorHAnsi"/>
          <w:szCs w:val="24"/>
          <w:lang w:eastAsia="it-IT"/>
        </w:rPr>
        <w:t xml:space="preserve"> </w:t>
      </w:r>
      <w:r w:rsidR="00D63A64" w:rsidRPr="006B14B3">
        <w:rPr>
          <w:rFonts w:asciiTheme="minorHAnsi" w:eastAsia="Times New Roman" w:hAnsiTheme="minorHAnsi"/>
          <w:szCs w:val="24"/>
          <w:lang w:eastAsia="it-IT"/>
        </w:rPr>
        <w:t>interessa</w:t>
      </w:r>
      <w:r w:rsidR="007F3993" w:rsidRPr="006B14B3">
        <w:rPr>
          <w:rFonts w:asciiTheme="minorHAnsi" w:eastAsia="Times New Roman" w:hAnsiTheme="minorHAnsi"/>
          <w:szCs w:val="24"/>
          <w:lang w:eastAsia="it-IT"/>
        </w:rPr>
        <w:t>, invece,</w:t>
      </w:r>
      <w:r w:rsidR="00EA1515" w:rsidRPr="006B14B3">
        <w:rPr>
          <w:rFonts w:asciiTheme="minorHAnsi" w:eastAsia="Times New Roman" w:hAnsiTheme="minorHAnsi"/>
          <w:szCs w:val="24"/>
          <w:lang w:eastAsia="it-IT"/>
        </w:rPr>
        <w:t xml:space="preserve"> </w:t>
      </w:r>
      <w:r w:rsidR="00D63A64" w:rsidRPr="006B14B3">
        <w:rPr>
          <w:rFonts w:asciiTheme="minorHAnsi" w:eastAsia="Times New Roman" w:hAnsiTheme="minorHAnsi"/>
          <w:szCs w:val="24"/>
          <w:lang w:eastAsia="it-IT"/>
        </w:rPr>
        <w:t xml:space="preserve">la </w:t>
      </w:r>
      <w:r w:rsidR="00EA1515" w:rsidRPr="006B14B3">
        <w:rPr>
          <w:rFonts w:asciiTheme="minorHAnsi" w:eastAsia="Times New Roman" w:hAnsiTheme="minorHAnsi"/>
          <w:szCs w:val="24"/>
          <w:lang w:eastAsia="it-IT"/>
        </w:rPr>
        <w:t xml:space="preserve"> convivenza di fatto tra due persone </w:t>
      </w:r>
      <w:r w:rsidR="00D63A64" w:rsidRPr="006B14B3">
        <w:rPr>
          <w:rFonts w:asciiTheme="minorHAnsi" w:eastAsia="Times New Roman" w:hAnsiTheme="minorHAnsi"/>
          <w:szCs w:val="24"/>
          <w:lang w:eastAsia="it-IT"/>
        </w:rPr>
        <w:t>di diverso o dello stesso sesso</w:t>
      </w:r>
      <w:r w:rsidR="00EA1515" w:rsidRPr="006B14B3">
        <w:rPr>
          <w:rFonts w:asciiTheme="minorHAnsi" w:eastAsia="Times New Roman" w:hAnsiTheme="minorHAnsi"/>
          <w:szCs w:val="24"/>
          <w:lang w:eastAsia="it-IT"/>
        </w:rPr>
        <w:t>, legate da rapporto affettivo, non vincolat</w:t>
      </w:r>
      <w:r w:rsidR="00D63A64" w:rsidRPr="006B14B3">
        <w:rPr>
          <w:rFonts w:asciiTheme="minorHAnsi" w:eastAsia="Times New Roman" w:hAnsiTheme="minorHAnsi"/>
          <w:szCs w:val="24"/>
          <w:lang w:eastAsia="it-IT"/>
        </w:rPr>
        <w:t>e</w:t>
      </w:r>
      <w:r w:rsidR="00EA1515" w:rsidRPr="006B14B3">
        <w:rPr>
          <w:rFonts w:asciiTheme="minorHAnsi" w:eastAsia="Times New Roman" w:hAnsiTheme="minorHAnsi"/>
          <w:szCs w:val="24"/>
          <w:lang w:eastAsia="it-IT"/>
        </w:rPr>
        <w:t xml:space="preserve"> da rapporti di parentela o </w:t>
      </w:r>
    </w:p>
    <w:p w:rsidR="00493324" w:rsidRDefault="00493324" w:rsidP="00493324">
      <w:pPr>
        <w:pStyle w:val="Paragrafoelenco"/>
        <w:spacing w:after="0" w:line="276" w:lineRule="auto"/>
        <w:rPr>
          <w:rFonts w:asciiTheme="minorHAnsi" w:eastAsia="Times New Roman" w:hAnsiTheme="minorHAnsi"/>
          <w:szCs w:val="24"/>
          <w:lang w:eastAsia="it-IT"/>
        </w:rPr>
      </w:pPr>
    </w:p>
    <w:p w:rsidR="0053347B" w:rsidRDefault="0053347B" w:rsidP="0053347B">
      <w:pPr>
        <w:pStyle w:val="Paragrafoelenco"/>
        <w:spacing w:after="0" w:line="276" w:lineRule="auto"/>
        <w:rPr>
          <w:rFonts w:asciiTheme="minorHAnsi" w:eastAsia="Times New Roman" w:hAnsiTheme="minorHAnsi"/>
          <w:szCs w:val="24"/>
          <w:lang w:eastAsia="it-IT"/>
        </w:rPr>
      </w:pPr>
    </w:p>
    <w:p w:rsidR="007F3993" w:rsidRPr="006B14B3" w:rsidRDefault="00EA1515" w:rsidP="0053347B">
      <w:pPr>
        <w:pStyle w:val="Paragrafoelenco"/>
        <w:spacing w:after="0" w:line="276" w:lineRule="auto"/>
        <w:rPr>
          <w:rFonts w:asciiTheme="minorHAnsi" w:eastAsia="Times New Roman" w:hAnsiTheme="minorHAnsi"/>
          <w:szCs w:val="24"/>
          <w:lang w:eastAsia="it-IT"/>
        </w:rPr>
      </w:pPr>
      <w:r w:rsidRPr="006B14B3">
        <w:rPr>
          <w:rFonts w:asciiTheme="minorHAnsi" w:eastAsia="Times New Roman" w:hAnsiTheme="minorHAnsi"/>
          <w:szCs w:val="24"/>
          <w:lang w:eastAsia="it-IT"/>
        </w:rPr>
        <w:t>adozione, non sposat</w:t>
      </w:r>
      <w:r w:rsidR="00D63A64" w:rsidRPr="006B14B3">
        <w:rPr>
          <w:rFonts w:asciiTheme="minorHAnsi" w:eastAsia="Times New Roman" w:hAnsiTheme="minorHAnsi"/>
          <w:szCs w:val="24"/>
          <w:lang w:eastAsia="it-IT"/>
        </w:rPr>
        <w:t>e</w:t>
      </w:r>
      <w:r w:rsidRPr="006B14B3">
        <w:rPr>
          <w:rFonts w:asciiTheme="minorHAnsi" w:eastAsia="Times New Roman" w:hAnsiTheme="minorHAnsi"/>
          <w:szCs w:val="24"/>
          <w:lang w:eastAsia="it-IT"/>
        </w:rPr>
        <w:t xml:space="preserve"> </w:t>
      </w:r>
      <w:proofErr w:type="spellStart"/>
      <w:r w:rsidR="00553132" w:rsidRPr="006B14B3">
        <w:rPr>
          <w:rFonts w:asciiTheme="minorHAnsi" w:eastAsia="Times New Roman" w:hAnsiTheme="minorHAnsi"/>
          <w:szCs w:val="24"/>
          <w:lang w:eastAsia="it-IT"/>
        </w:rPr>
        <w:t>nè</w:t>
      </w:r>
      <w:proofErr w:type="spellEnd"/>
      <w:r w:rsidRPr="006B14B3">
        <w:rPr>
          <w:rFonts w:asciiTheme="minorHAnsi" w:eastAsia="Times New Roman" w:hAnsiTheme="minorHAnsi"/>
          <w:szCs w:val="24"/>
          <w:lang w:eastAsia="it-IT"/>
        </w:rPr>
        <w:t xml:space="preserve"> vincolat</w:t>
      </w:r>
      <w:r w:rsidR="00D63A64" w:rsidRPr="006B14B3">
        <w:rPr>
          <w:rFonts w:asciiTheme="minorHAnsi" w:eastAsia="Times New Roman" w:hAnsiTheme="minorHAnsi"/>
          <w:szCs w:val="24"/>
          <w:lang w:eastAsia="it-IT"/>
        </w:rPr>
        <w:t>e</w:t>
      </w:r>
      <w:r w:rsidRPr="006B14B3">
        <w:rPr>
          <w:rFonts w:asciiTheme="minorHAnsi" w:eastAsia="Times New Roman" w:hAnsiTheme="minorHAnsi"/>
          <w:szCs w:val="24"/>
          <w:lang w:eastAsia="it-IT"/>
        </w:rPr>
        <w:t xml:space="preserve"> da un'unione civile</w:t>
      </w:r>
      <w:r w:rsidR="00D63A64" w:rsidRPr="006B14B3">
        <w:rPr>
          <w:rFonts w:asciiTheme="minorHAnsi" w:eastAsia="Times New Roman" w:hAnsiTheme="minorHAnsi"/>
          <w:szCs w:val="24"/>
          <w:lang w:eastAsia="it-IT"/>
        </w:rPr>
        <w:t xml:space="preserve">. Da detta convivenza </w:t>
      </w:r>
      <w:r w:rsidRPr="006B14B3">
        <w:rPr>
          <w:rFonts w:asciiTheme="minorHAnsi" w:eastAsia="Times New Roman" w:hAnsiTheme="minorHAnsi"/>
          <w:szCs w:val="24"/>
          <w:lang w:eastAsia="it-IT"/>
        </w:rPr>
        <w:t>scaturisc</w:t>
      </w:r>
      <w:r w:rsidR="00D63A64" w:rsidRPr="006B14B3">
        <w:rPr>
          <w:rFonts w:asciiTheme="minorHAnsi" w:eastAsia="Times New Roman" w:hAnsiTheme="minorHAnsi"/>
          <w:szCs w:val="24"/>
          <w:lang w:eastAsia="it-IT"/>
        </w:rPr>
        <w:t>o</w:t>
      </w:r>
      <w:r w:rsidRPr="006B14B3">
        <w:rPr>
          <w:rFonts w:asciiTheme="minorHAnsi" w:eastAsia="Times New Roman" w:hAnsiTheme="minorHAnsi"/>
          <w:szCs w:val="24"/>
          <w:lang w:eastAsia="it-IT"/>
        </w:rPr>
        <w:t>no diritti</w:t>
      </w:r>
      <w:r w:rsidR="00D63A64" w:rsidRPr="006B14B3">
        <w:rPr>
          <w:rFonts w:asciiTheme="minorHAnsi" w:eastAsia="Times New Roman" w:hAnsiTheme="minorHAnsi"/>
          <w:szCs w:val="24"/>
          <w:lang w:eastAsia="it-IT"/>
        </w:rPr>
        <w:t xml:space="preserve"> che </w:t>
      </w:r>
      <w:r w:rsidRPr="006B14B3">
        <w:rPr>
          <w:rFonts w:asciiTheme="minorHAnsi" w:eastAsia="Times New Roman" w:hAnsiTheme="minorHAnsi"/>
          <w:szCs w:val="24"/>
          <w:lang w:eastAsia="it-IT"/>
        </w:rPr>
        <w:t xml:space="preserve">in gran parte </w:t>
      </w:r>
      <w:r w:rsidR="00D63A64" w:rsidRPr="006B14B3">
        <w:rPr>
          <w:rFonts w:asciiTheme="minorHAnsi" w:eastAsia="Times New Roman" w:hAnsiTheme="minorHAnsi"/>
          <w:szCs w:val="24"/>
          <w:lang w:eastAsia="it-IT"/>
        </w:rPr>
        <w:t xml:space="preserve">sono </w:t>
      </w:r>
      <w:r w:rsidRPr="006B14B3">
        <w:rPr>
          <w:rFonts w:asciiTheme="minorHAnsi" w:eastAsia="Times New Roman" w:hAnsiTheme="minorHAnsi"/>
          <w:szCs w:val="24"/>
          <w:lang w:eastAsia="it-IT"/>
        </w:rPr>
        <w:t>già riconosciuti dall'attuale giurisprudenza</w:t>
      </w:r>
      <w:r w:rsidR="007F3993" w:rsidRPr="006B14B3">
        <w:rPr>
          <w:rFonts w:asciiTheme="minorHAnsi" w:eastAsia="Times New Roman" w:hAnsiTheme="minorHAnsi"/>
          <w:szCs w:val="24"/>
          <w:lang w:eastAsia="it-IT"/>
        </w:rPr>
        <w:t xml:space="preserve">, </w:t>
      </w:r>
      <w:r w:rsidR="00D63A64" w:rsidRPr="006B14B3">
        <w:rPr>
          <w:rFonts w:asciiTheme="minorHAnsi" w:eastAsia="Times New Roman" w:hAnsiTheme="minorHAnsi"/>
          <w:szCs w:val="24"/>
          <w:lang w:eastAsia="it-IT"/>
        </w:rPr>
        <w:t xml:space="preserve">prevedendo, inoltre, che la </w:t>
      </w:r>
      <w:r w:rsidR="007F3993" w:rsidRPr="006B14B3">
        <w:rPr>
          <w:rFonts w:asciiTheme="minorHAnsi" w:eastAsia="Times New Roman" w:hAnsiTheme="minorHAnsi"/>
          <w:szCs w:val="24"/>
          <w:lang w:eastAsia="it-IT"/>
        </w:rPr>
        <w:t xml:space="preserve">coppia </w:t>
      </w:r>
      <w:r w:rsidR="00D63A64" w:rsidRPr="006B14B3">
        <w:rPr>
          <w:rFonts w:asciiTheme="minorHAnsi" w:eastAsia="Times New Roman" w:hAnsiTheme="minorHAnsi"/>
          <w:szCs w:val="24"/>
          <w:lang w:eastAsia="it-IT"/>
        </w:rPr>
        <w:t xml:space="preserve">possa </w:t>
      </w:r>
      <w:r w:rsidR="007F3993" w:rsidRPr="006B14B3">
        <w:rPr>
          <w:rFonts w:asciiTheme="minorHAnsi" w:eastAsia="Times New Roman" w:hAnsiTheme="minorHAnsi"/>
          <w:szCs w:val="24"/>
          <w:lang w:eastAsia="it-IT"/>
        </w:rPr>
        <w:t>stipulare</w:t>
      </w:r>
      <w:r w:rsidR="00820AB2" w:rsidRPr="006B14B3">
        <w:rPr>
          <w:rFonts w:asciiTheme="minorHAnsi" w:eastAsia="Times New Roman" w:hAnsiTheme="minorHAnsi"/>
          <w:bCs/>
          <w:szCs w:val="24"/>
          <w:lang w:eastAsia="it-IT"/>
        </w:rPr>
        <w:t xml:space="preserve"> un </w:t>
      </w:r>
      <w:r w:rsidR="00553132" w:rsidRPr="006B14B3">
        <w:rPr>
          <w:rFonts w:asciiTheme="minorHAnsi" w:eastAsia="Times New Roman" w:hAnsiTheme="minorHAnsi"/>
          <w:bCs/>
          <w:szCs w:val="24"/>
          <w:lang w:eastAsia="it-IT"/>
        </w:rPr>
        <w:t>"</w:t>
      </w:r>
      <w:r w:rsidR="00820AB2" w:rsidRPr="006B14B3">
        <w:rPr>
          <w:rFonts w:asciiTheme="minorHAnsi" w:eastAsia="Times New Roman" w:hAnsiTheme="minorHAnsi"/>
          <w:bCs/>
          <w:szCs w:val="24"/>
          <w:lang w:eastAsia="it-IT"/>
        </w:rPr>
        <w:t>contratto di convivenza</w:t>
      </w:r>
      <w:r w:rsidR="00553132" w:rsidRPr="006B14B3">
        <w:rPr>
          <w:rFonts w:asciiTheme="minorHAnsi" w:eastAsia="Times New Roman" w:hAnsiTheme="minorHAnsi"/>
          <w:bCs/>
          <w:szCs w:val="24"/>
          <w:lang w:eastAsia="it-IT"/>
        </w:rPr>
        <w:t>"</w:t>
      </w:r>
      <w:r w:rsidR="007F3993" w:rsidRPr="006B14B3">
        <w:rPr>
          <w:rFonts w:asciiTheme="minorHAnsi" w:eastAsia="Times New Roman" w:hAnsiTheme="minorHAnsi"/>
          <w:szCs w:val="24"/>
          <w:lang w:eastAsia="it-IT"/>
        </w:rPr>
        <w:t xml:space="preserve">, </w:t>
      </w:r>
      <w:r w:rsidR="00D63A64" w:rsidRPr="006B14B3">
        <w:rPr>
          <w:rFonts w:asciiTheme="minorHAnsi" w:eastAsia="Times New Roman" w:hAnsiTheme="minorHAnsi"/>
          <w:szCs w:val="24"/>
          <w:lang w:eastAsia="it-IT"/>
        </w:rPr>
        <w:t>al</w:t>
      </w:r>
      <w:r w:rsidR="00820AB2" w:rsidRPr="006B14B3">
        <w:rPr>
          <w:rFonts w:asciiTheme="minorHAnsi" w:eastAsia="Times New Roman" w:hAnsiTheme="minorHAnsi"/>
          <w:szCs w:val="24"/>
          <w:lang w:eastAsia="it-IT"/>
        </w:rPr>
        <w:t xml:space="preserve"> solo fine di</w:t>
      </w:r>
      <w:r w:rsidR="007F3993" w:rsidRPr="006B14B3">
        <w:rPr>
          <w:rFonts w:asciiTheme="minorHAnsi" w:eastAsia="Times New Roman" w:hAnsiTheme="minorHAnsi"/>
          <w:bCs/>
          <w:szCs w:val="24"/>
          <w:lang w:eastAsia="it-IT"/>
        </w:rPr>
        <w:t xml:space="preserve"> regolare </w:t>
      </w:r>
      <w:r w:rsidR="0001007E" w:rsidRPr="006B14B3">
        <w:rPr>
          <w:rFonts w:asciiTheme="minorHAnsi" w:eastAsia="Times New Roman" w:hAnsiTheme="minorHAnsi"/>
          <w:bCs/>
          <w:szCs w:val="24"/>
          <w:lang w:eastAsia="it-IT"/>
        </w:rPr>
        <w:t>i</w:t>
      </w:r>
      <w:r w:rsidR="007F3993" w:rsidRPr="006B14B3">
        <w:rPr>
          <w:rFonts w:asciiTheme="minorHAnsi" w:eastAsia="Times New Roman" w:hAnsiTheme="minorHAnsi"/>
          <w:bCs/>
          <w:szCs w:val="24"/>
          <w:lang w:eastAsia="it-IT"/>
        </w:rPr>
        <w:t xml:space="preserve"> </w:t>
      </w:r>
      <w:r w:rsidR="00820AB2" w:rsidRPr="006B14B3">
        <w:rPr>
          <w:rFonts w:asciiTheme="minorHAnsi" w:eastAsia="Times New Roman" w:hAnsiTheme="minorHAnsi"/>
          <w:bCs/>
          <w:szCs w:val="24"/>
          <w:lang w:eastAsia="it-IT"/>
        </w:rPr>
        <w:t>rapporti economici relativi alla vita in comune.</w:t>
      </w:r>
      <w:r w:rsidR="007F3993" w:rsidRPr="006B14B3">
        <w:rPr>
          <w:rFonts w:asciiTheme="minorHAnsi" w:eastAsia="Times New Roman" w:hAnsiTheme="minorHAnsi"/>
          <w:szCs w:val="24"/>
          <w:lang w:eastAsia="it-IT"/>
        </w:rPr>
        <w:t xml:space="preserve"> </w:t>
      </w:r>
    </w:p>
    <w:p w:rsidR="00D63A64" w:rsidRDefault="00D63A64" w:rsidP="00055F44">
      <w:pPr>
        <w:spacing w:after="0" w:line="276" w:lineRule="auto"/>
        <w:rPr>
          <w:rFonts w:asciiTheme="minorHAnsi" w:hAnsiTheme="minorHAnsi"/>
          <w:szCs w:val="24"/>
        </w:rPr>
      </w:pPr>
    </w:p>
    <w:p w:rsidR="00F250AC" w:rsidRPr="004D153A" w:rsidRDefault="00F250AC" w:rsidP="00055F44">
      <w:pPr>
        <w:tabs>
          <w:tab w:val="left" w:pos="851"/>
        </w:tabs>
        <w:spacing w:after="0" w:line="276" w:lineRule="auto"/>
        <w:rPr>
          <w:rFonts w:asciiTheme="minorHAnsi" w:hAnsiTheme="minorHAnsi"/>
          <w:szCs w:val="24"/>
        </w:rPr>
      </w:pPr>
      <w:r w:rsidRPr="004D153A">
        <w:rPr>
          <w:rFonts w:asciiTheme="minorHAnsi" w:hAnsiTheme="minorHAnsi"/>
          <w:szCs w:val="24"/>
        </w:rPr>
        <w:t>Al testo sono stati presentati 4320 emendamenti, divenuti 1693 a seguito delle dichiarazioni di inammissibilità</w:t>
      </w:r>
      <w:r w:rsidR="00F87485" w:rsidRPr="004D153A">
        <w:rPr>
          <w:rFonts w:asciiTheme="minorHAnsi" w:hAnsiTheme="minorHAnsi"/>
          <w:szCs w:val="24"/>
        </w:rPr>
        <w:t xml:space="preserve"> e improponibilità.</w:t>
      </w:r>
    </w:p>
    <w:p w:rsidR="000407DC" w:rsidRPr="004D153A" w:rsidRDefault="00020625" w:rsidP="00055F44">
      <w:pPr>
        <w:spacing w:after="0" w:line="276" w:lineRule="auto"/>
        <w:rPr>
          <w:rFonts w:asciiTheme="minorHAnsi" w:hAnsiTheme="minorHAnsi"/>
          <w:szCs w:val="24"/>
        </w:rPr>
      </w:pPr>
      <w:r w:rsidRPr="004D153A">
        <w:rPr>
          <w:rFonts w:asciiTheme="minorHAnsi" w:hAnsiTheme="minorHAnsi"/>
          <w:szCs w:val="24"/>
          <w:u w:val="single"/>
        </w:rPr>
        <w:t xml:space="preserve">Il testo ha già ricevuto, in sede consultiva, i pareri favorevoli della Commissione </w:t>
      </w:r>
      <w:r w:rsidR="008D2D4E" w:rsidRPr="004D153A">
        <w:rPr>
          <w:rFonts w:asciiTheme="minorHAnsi" w:hAnsiTheme="minorHAnsi"/>
          <w:szCs w:val="24"/>
          <w:u w:val="single"/>
        </w:rPr>
        <w:t>Affari Costituzional</w:t>
      </w:r>
      <w:r w:rsidR="00553132">
        <w:rPr>
          <w:rFonts w:asciiTheme="minorHAnsi" w:hAnsiTheme="minorHAnsi"/>
          <w:szCs w:val="24"/>
          <w:u w:val="single"/>
        </w:rPr>
        <w:t>i</w:t>
      </w:r>
      <w:r w:rsidR="008D2D4E" w:rsidRPr="004D153A">
        <w:rPr>
          <w:rFonts w:asciiTheme="minorHAnsi" w:hAnsiTheme="minorHAnsi"/>
          <w:szCs w:val="24"/>
          <w:u w:val="single"/>
        </w:rPr>
        <w:t xml:space="preserve"> e </w:t>
      </w:r>
      <w:r w:rsidRPr="004D153A">
        <w:rPr>
          <w:rFonts w:asciiTheme="minorHAnsi" w:hAnsiTheme="minorHAnsi"/>
          <w:szCs w:val="24"/>
          <w:u w:val="single"/>
        </w:rPr>
        <w:t>della Commissione Politiche dell'Unione Europea</w:t>
      </w:r>
      <w:r w:rsidR="0053347B" w:rsidRPr="0053347B">
        <w:rPr>
          <w:b/>
          <w:bCs/>
          <w:u w:val="single"/>
        </w:rPr>
        <w:t xml:space="preserve"> </w:t>
      </w:r>
      <w:r w:rsidR="0053347B" w:rsidRPr="0053347B">
        <w:rPr>
          <w:rFonts w:asciiTheme="minorHAnsi" w:hAnsiTheme="minorHAnsi"/>
          <w:szCs w:val="24"/>
          <w:u w:val="single"/>
        </w:rPr>
        <w:t>e della Commissione Bilancio , anche a seguito delle Relazione tecnica prodotta dal Governo</w:t>
      </w:r>
      <w:r w:rsidR="008D2D4E" w:rsidRPr="0053347B">
        <w:rPr>
          <w:rFonts w:asciiTheme="minorHAnsi" w:hAnsiTheme="minorHAnsi"/>
          <w:szCs w:val="24"/>
          <w:u w:val="single"/>
        </w:rPr>
        <w:t>.</w:t>
      </w:r>
      <w:r w:rsidR="0053347B" w:rsidRPr="0053347B">
        <w:rPr>
          <w:rFonts w:asciiTheme="minorHAnsi" w:hAnsiTheme="minorHAnsi"/>
          <w:szCs w:val="24"/>
        </w:rPr>
        <w:t xml:space="preserve"> </w:t>
      </w:r>
      <w:r w:rsidR="009A6AE5" w:rsidRPr="009A6AE5">
        <w:rPr>
          <w:rFonts w:asciiTheme="minorHAnsi" w:hAnsiTheme="minorHAnsi"/>
          <w:szCs w:val="24"/>
        </w:rPr>
        <w:t xml:space="preserve">A </w:t>
      </w:r>
      <w:r w:rsidR="009A6AE5">
        <w:rPr>
          <w:rFonts w:asciiTheme="minorHAnsi" w:hAnsiTheme="minorHAnsi"/>
          <w:szCs w:val="24"/>
        </w:rPr>
        <w:t xml:space="preserve">tal </w:t>
      </w:r>
      <w:r w:rsidR="009A6AE5" w:rsidRPr="009A6AE5">
        <w:rPr>
          <w:rFonts w:asciiTheme="minorHAnsi" w:hAnsiTheme="minorHAnsi"/>
          <w:szCs w:val="24"/>
        </w:rPr>
        <w:t xml:space="preserve">riguardo, </w:t>
      </w:r>
      <w:r w:rsidR="009A6AE5">
        <w:rPr>
          <w:rFonts w:asciiTheme="minorHAnsi" w:hAnsiTheme="minorHAnsi"/>
          <w:szCs w:val="24"/>
        </w:rPr>
        <w:t>q</w:t>
      </w:r>
      <w:r w:rsidR="00553132" w:rsidRPr="00553132">
        <w:rPr>
          <w:rFonts w:asciiTheme="minorHAnsi" w:hAnsiTheme="minorHAnsi"/>
          <w:szCs w:val="24"/>
        </w:rPr>
        <w:t>uest'ultima</w:t>
      </w:r>
      <w:r w:rsidR="009A6AE5">
        <w:rPr>
          <w:rFonts w:asciiTheme="minorHAnsi" w:hAnsiTheme="minorHAnsi"/>
          <w:szCs w:val="24"/>
        </w:rPr>
        <w:t xml:space="preserve"> ha sostenuto che </w:t>
      </w:r>
      <w:r w:rsidR="009A6AE5" w:rsidRPr="004D153A">
        <w:rPr>
          <w:rFonts w:asciiTheme="minorHAnsi" w:hAnsiTheme="minorHAnsi"/>
          <w:szCs w:val="24"/>
        </w:rPr>
        <w:t xml:space="preserve">il testo unificato </w:t>
      </w:r>
      <w:r w:rsidR="009A6AE5">
        <w:rPr>
          <w:rFonts w:asciiTheme="minorHAnsi" w:hAnsiTheme="minorHAnsi"/>
          <w:szCs w:val="24"/>
        </w:rPr>
        <w:t>si inscriva nella</w:t>
      </w:r>
      <w:r w:rsidR="00382091" w:rsidRPr="004D153A">
        <w:rPr>
          <w:rFonts w:asciiTheme="minorHAnsi" w:hAnsiTheme="minorHAnsi"/>
          <w:szCs w:val="24"/>
        </w:rPr>
        <w:t xml:space="preserve"> recente posizione espressa dal Parlamento europeo </w:t>
      </w:r>
      <w:r w:rsidR="009A6AE5">
        <w:rPr>
          <w:rFonts w:asciiTheme="minorHAnsi" w:hAnsiTheme="minorHAnsi"/>
          <w:szCs w:val="24"/>
        </w:rPr>
        <w:t>con la</w:t>
      </w:r>
      <w:r w:rsidR="00382091" w:rsidRPr="004D153A">
        <w:rPr>
          <w:rFonts w:asciiTheme="minorHAnsi" w:hAnsiTheme="minorHAnsi"/>
          <w:szCs w:val="24"/>
        </w:rPr>
        <w:t xml:space="preserve"> Risoluzione del 12 marzo 2015 sulla relazione annuale sui diritti umani e la democrazia nel mondo nel 2013 e sulla politica dell’Unione europea in materia (2014/2216(INI)), in cui al punto 162 si "</w:t>
      </w:r>
      <w:r w:rsidR="00382091" w:rsidRPr="004D153A">
        <w:rPr>
          <w:rFonts w:asciiTheme="minorHAnsi" w:hAnsiTheme="minorHAnsi"/>
          <w:i/>
          <w:szCs w:val="24"/>
        </w:rPr>
        <w:t>prende atto della legalizzazione del matrimonio o delle unioni civili tra persone dello stesso sesso in un numero crescente di paesi nel mondo, attualmente diciassette</w:t>
      </w:r>
      <w:r w:rsidR="00382091" w:rsidRPr="004D153A">
        <w:rPr>
          <w:rFonts w:asciiTheme="minorHAnsi" w:hAnsiTheme="minorHAnsi"/>
          <w:szCs w:val="24"/>
        </w:rPr>
        <w:t>" e si incoraggiano "</w:t>
      </w:r>
      <w:r w:rsidR="00382091" w:rsidRPr="004D153A">
        <w:rPr>
          <w:rFonts w:asciiTheme="minorHAnsi" w:hAnsiTheme="minorHAnsi"/>
          <w:i/>
          <w:szCs w:val="24"/>
        </w:rPr>
        <w:t>le istituzioni e gli Stati membri dell’UE a contribuire ulteriormente alla riflessione sul riconoscimento del matrimonio o delle unioni civili tra persone dello stesso sesso in quanto questione politica, sociale e di diritti umani e civili</w:t>
      </w:r>
      <w:r w:rsidR="009A6AE5">
        <w:rPr>
          <w:rFonts w:asciiTheme="minorHAnsi" w:hAnsiTheme="minorHAnsi"/>
          <w:szCs w:val="24"/>
        </w:rPr>
        <w:t>".</w:t>
      </w:r>
    </w:p>
    <w:p w:rsidR="008D2D4E" w:rsidRPr="004D153A" w:rsidRDefault="000407DC" w:rsidP="00055F44">
      <w:pPr>
        <w:spacing w:after="0" w:line="276" w:lineRule="auto"/>
        <w:rPr>
          <w:rFonts w:asciiTheme="minorHAnsi" w:hAnsiTheme="minorHAnsi"/>
          <w:strike/>
          <w:szCs w:val="24"/>
          <w:u w:val="single"/>
        </w:rPr>
      </w:pPr>
      <w:r w:rsidRPr="004D153A">
        <w:rPr>
          <w:rFonts w:asciiTheme="minorHAnsi" w:hAnsiTheme="minorHAnsi"/>
          <w:szCs w:val="24"/>
        </w:rPr>
        <w:t>L</w:t>
      </w:r>
      <w:r w:rsidR="008D2D4E" w:rsidRPr="004D153A">
        <w:rPr>
          <w:rFonts w:asciiTheme="minorHAnsi" w:hAnsiTheme="minorHAnsi"/>
          <w:szCs w:val="24"/>
        </w:rPr>
        <w:t>a Commissione Affari Costituzionali</w:t>
      </w:r>
      <w:r w:rsidR="0021402A" w:rsidRPr="004D153A">
        <w:rPr>
          <w:rFonts w:asciiTheme="minorHAnsi" w:hAnsiTheme="minorHAnsi"/>
          <w:szCs w:val="24"/>
        </w:rPr>
        <w:t xml:space="preserve"> ha</w:t>
      </w:r>
      <w:r w:rsidR="009A6AE5">
        <w:rPr>
          <w:rFonts w:asciiTheme="minorHAnsi" w:hAnsiTheme="minorHAnsi"/>
          <w:szCs w:val="24"/>
        </w:rPr>
        <w:t>, invece,</w:t>
      </w:r>
      <w:r w:rsidR="0021402A" w:rsidRPr="004D153A">
        <w:rPr>
          <w:rFonts w:asciiTheme="minorHAnsi" w:hAnsiTheme="minorHAnsi"/>
          <w:szCs w:val="24"/>
        </w:rPr>
        <w:t xml:space="preserve"> sottolineato come  la scelta compiuta </w:t>
      </w:r>
      <w:r w:rsidR="00C804B1" w:rsidRPr="004D153A">
        <w:rPr>
          <w:rFonts w:asciiTheme="minorHAnsi" w:hAnsiTheme="minorHAnsi"/>
          <w:szCs w:val="24"/>
        </w:rPr>
        <w:t>appaia</w:t>
      </w:r>
      <w:r w:rsidR="0021402A" w:rsidRPr="004D153A">
        <w:rPr>
          <w:rFonts w:asciiTheme="minorHAnsi" w:hAnsiTheme="minorHAnsi"/>
          <w:szCs w:val="24"/>
        </w:rPr>
        <w:t xml:space="preserve"> compatibile con il quadro costituzionale, anche alla luce della più recente giurisprudenza di merito e di legittimità</w:t>
      </w:r>
      <w:r w:rsidR="00CA1E2E">
        <w:rPr>
          <w:rFonts w:asciiTheme="minorHAnsi" w:hAnsiTheme="minorHAnsi"/>
          <w:szCs w:val="24"/>
        </w:rPr>
        <w:t>.</w:t>
      </w:r>
      <w:r w:rsidR="0021402A" w:rsidRPr="004D153A">
        <w:rPr>
          <w:rFonts w:asciiTheme="minorHAnsi" w:hAnsiTheme="minorHAnsi"/>
          <w:szCs w:val="24"/>
        </w:rPr>
        <w:t xml:space="preserve"> </w:t>
      </w:r>
      <w:r w:rsidR="00CA1E2E">
        <w:rPr>
          <w:rFonts w:asciiTheme="minorHAnsi" w:hAnsiTheme="minorHAnsi"/>
          <w:szCs w:val="24"/>
        </w:rPr>
        <w:t xml:space="preserve">Con riferimento </w:t>
      </w:r>
      <w:r w:rsidR="0021402A" w:rsidRPr="004D153A">
        <w:rPr>
          <w:rFonts w:asciiTheme="minorHAnsi" w:hAnsiTheme="minorHAnsi"/>
          <w:szCs w:val="24"/>
        </w:rPr>
        <w:t xml:space="preserve"> </w:t>
      </w:r>
      <w:r w:rsidR="00CA1E2E">
        <w:rPr>
          <w:rFonts w:asciiTheme="minorHAnsi" w:hAnsiTheme="minorHAnsi"/>
          <w:szCs w:val="24"/>
        </w:rPr>
        <w:t xml:space="preserve">alla Corte Costituzionale, la Commissione ha ricordato che la </w:t>
      </w:r>
      <w:r w:rsidR="00E81C95" w:rsidRPr="004D153A">
        <w:rPr>
          <w:rFonts w:asciiTheme="minorHAnsi" w:hAnsiTheme="minorHAnsi"/>
          <w:szCs w:val="24"/>
        </w:rPr>
        <w:t>citat</w:t>
      </w:r>
      <w:r w:rsidR="00CA1E2E">
        <w:rPr>
          <w:rFonts w:asciiTheme="minorHAnsi" w:hAnsiTheme="minorHAnsi"/>
          <w:szCs w:val="24"/>
        </w:rPr>
        <w:t>a</w:t>
      </w:r>
      <w:r w:rsidR="00E81C95" w:rsidRPr="004D153A">
        <w:rPr>
          <w:rFonts w:asciiTheme="minorHAnsi" w:hAnsiTheme="minorHAnsi"/>
          <w:szCs w:val="24"/>
        </w:rPr>
        <w:t xml:space="preserve"> sentenz</w:t>
      </w:r>
      <w:r w:rsidR="00CA1E2E">
        <w:rPr>
          <w:rFonts w:asciiTheme="minorHAnsi" w:hAnsiTheme="minorHAnsi"/>
          <w:szCs w:val="24"/>
        </w:rPr>
        <w:t>a</w:t>
      </w:r>
      <w:r w:rsidR="0021402A" w:rsidRPr="004D153A">
        <w:rPr>
          <w:rFonts w:asciiTheme="minorHAnsi" w:hAnsiTheme="minorHAnsi"/>
          <w:szCs w:val="24"/>
        </w:rPr>
        <w:t xml:space="preserve"> n. 138 del 2010</w:t>
      </w:r>
      <w:r w:rsidR="00CA1E2E">
        <w:rPr>
          <w:rFonts w:asciiTheme="minorHAnsi" w:hAnsiTheme="minorHAnsi"/>
          <w:szCs w:val="24"/>
        </w:rPr>
        <w:t xml:space="preserve"> ha riconosciuto </w:t>
      </w:r>
      <w:r w:rsidR="0021402A" w:rsidRPr="004D153A">
        <w:rPr>
          <w:rFonts w:asciiTheme="minorHAnsi" w:hAnsiTheme="minorHAnsi"/>
          <w:szCs w:val="24"/>
        </w:rPr>
        <w:t>all’unione omosessuale, intesa come stabile convivenza tra pe</w:t>
      </w:r>
      <w:r w:rsidR="00E03C03" w:rsidRPr="004D153A">
        <w:rPr>
          <w:rFonts w:asciiTheme="minorHAnsi" w:hAnsiTheme="minorHAnsi"/>
          <w:szCs w:val="24"/>
        </w:rPr>
        <w:t xml:space="preserve">rsone dello stesso sesso, </w:t>
      </w:r>
      <w:r w:rsidR="0008586C" w:rsidRPr="004D153A">
        <w:rPr>
          <w:rFonts w:asciiTheme="minorHAnsi" w:hAnsiTheme="minorHAnsi"/>
          <w:szCs w:val="24"/>
        </w:rPr>
        <w:t>il diritto fondamentale di vivere liberamente una condizione di coppia, i</w:t>
      </w:r>
      <w:r w:rsidR="00774462" w:rsidRPr="004D153A">
        <w:rPr>
          <w:rFonts w:asciiTheme="minorHAnsi" w:hAnsiTheme="minorHAnsi"/>
          <w:szCs w:val="24"/>
        </w:rPr>
        <w:t xml:space="preserve">l </w:t>
      </w:r>
      <w:r w:rsidR="0008586C" w:rsidRPr="004D153A">
        <w:rPr>
          <w:rFonts w:asciiTheme="minorHAnsi" w:hAnsiTheme="minorHAnsi"/>
          <w:szCs w:val="24"/>
        </w:rPr>
        <w:t xml:space="preserve">cui </w:t>
      </w:r>
      <w:r w:rsidR="00774462" w:rsidRPr="004D153A">
        <w:rPr>
          <w:rFonts w:asciiTheme="minorHAnsi" w:hAnsiTheme="minorHAnsi"/>
          <w:szCs w:val="24"/>
        </w:rPr>
        <w:t>fondamento della tutela è rinvenibile</w:t>
      </w:r>
      <w:r w:rsidR="00CA1E2E">
        <w:rPr>
          <w:rFonts w:asciiTheme="minorHAnsi" w:hAnsiTheme="minorHAnsi"/>
          <w:szCs w:val="24"/>
        </w:rPr>
        <w:t xml:space="preserve"> </w:t>
      </w:r>
      <w:r w:rsidR="00774462" w:rsidRPr="004D153A">
        <w:rPr>
          <w:rFonts w:asciiTheme="minorHAnsi" w:hAnsiTheme="minorHAnsi"/>
          <w:szCs w:val="24"/>
        </w:rPr>
        <w:t>nell’articolo 2 della Costituzione</w:t>
      </w:r>
      <w:r w:rsidR="00CA1E2E">
        <w:rPr>
          <w:rFonts w:asciiTheme="minorHAnsi" w:hAnsiTheme="minorHAnsi"/>
          <w:szCs w:val="24"/>
        </w:rPr>
        <w:t>.</w:t>
      </w:r>
      <w:r w:rsidR="00C00B89" w:rsidRPr="004D153A">
        <w:rPr>
          <w:rFonts w:asciiTheme="minorHAnsi" w:hAnsiTheme="minorHAnsi"/>
          <w:szCs w:val="24"/>
        </w:rPr>
        <w:t xml:space="preserve"> </w:t>
      </w:r>
      <w:r w:rsidR="00CA1E2E">
        <w:rPr>
          <w:rFonts w:asciiTheme="minorHAnsi" w:hAnsiTheme="minorHAnsi"/>
          <w:szCs w:val="24"/>
        </w:rPr>
        <w:t>Inoltre, la</w:t>
      </w:r>
      <w:r w:rsidR="004C2BBF" w:rsidRPr="004D153A">
        <w:rPr>
          <w:rFonts w:asciiTheme="minorHAnsi" w:hAnsiTheme="minorHAnsi"/>
          <w:szCs w:val="24"/>
        </w:rPr>
        <w:t xml:space="preserve"> sentenza n. 170 del 2014, in materia di cosiddetto "divorzio imposto</w:t>
      </w:r>
      <w:r w:rsidR="0087111C" w:rsidRPr="004D153A">
        <w:rPr>
          <w:rFonts w:asciiTheme="minorHAnsi" w:hAnsiTheme="minorHAnsi"/>
          <w:szCs w:val="24"/>
        </w:rPr>
        <w:t>" a seguito di procedimento di rettificazione legale di sesso</w:t>
      </w:r>
      <w:r w:rsidR="00C00B89" w:rsidRPr="004D153A">
        <w:rPr>
          <w:rFonts w:asciiTheme="minorHAnsi" w:hAnsiTheme="minorHAnsi"/>
          <w:szCs w:val="24"/>
        </w:rPr>
        <w:t>,</w:t>
      </w:r>
      <w:r w:rsidR="0087111C" w:rsidRPr="004D153A">
        <w:rPr>
          <w:rFonts w:asciiTheme="minorHAnsi" w:hAnsiTheme="minorHAnsi"/>
          <w:szCs w:val="24"/>
        </w:rPr>
        <w:t xml:space="preserve"> </w:t>
      </w:r>
      <w:r w:rsidR="00BD44C6" w:rsidRPr="004D153A">
        <w:rPr>
          <w:rFonts w:asciiTheme="minorHAnsi" w:hAnsiTheme="minorHAnsi"/>
          <w:szCs w:val="24"/>
        </w:rPr>
        <w:t xml:space="preserve">ha </w:t>
      </w:r>
      <w:r w:rsidR="002F028D" w:rsidRPr="004D153A">
        <w:rPr>
          <w:rFonts w:asciiTheme="minorHAnsi" w:hAnsiTheme="minorHAnsi"/>
          <w:szCs w:val="24"/>
        </w:rPr>
        <w:t>sollecitato il legislatore ad adoperarsi con  la massima sollecitudine, per superare la rilevata condizione di illegittimità della disciplina</w:t>
      </w:r>
      <w:r w:rsidR="007A36A4" w:rsidRPr="004D153A">
        <w:rPr>
          <w:rFonts w:asciiTheme="minorHAnsi" w:hAnsiTheme="minorHAnsi"/>
          <w:szCs w:val="24"/>
        </w:rPr>
        <w:t xml:space="preserve"> delle coppie conviventi dello stesso sesso</w:t>
      </w:r>
      <w:r w:rsidR="00B1366C" w:rsidRPr="004D153A">
        <w:rPr>
          <w:rFonts w:asciiTheme="minorHAnsi" w:hAnsiTheme="minorHAnsi"/>
          <w:szCs w:val="24"/>
        </w:rPr>
        <w:t>,</w:t>
      </w:r>
      <w:r w:rsidR="007A36A4" w:rsidRPr="004D153A">
        <w:rPr>
          <w:rFonts w:asciiTheme="minorHAnsi" w:hAnsiTheme="minorHAnsi"/>
          <w:szCs w:val="24"/>
        </w:rPr>
        <w:t xml:space="preserve"> </w:t>
      </w:r>
      <w:r w:rsidR="005F5B21" w:rsidRPr="004D153A">
        <w:rPr>
          <w:rFonts w:asciiTheme="minorHAnsi" w:hAnsiTheme="minorHAnsi"/>
          <w:szCs w:val="24"/>
        </w:rPr>
        <w:t xml:space="preserve">stante </w:t>
      </w:r>
      <w:r w:rsidR="002F028D" w:rsidRPr="004D153A">
        <w:rPr>
          <w:rFonts w:asciiTheme="minorHAnsi" w:hAnsiTheme="minorHAnsi"/>
          <w:szCs w:val="24"/>
        </w:rPr>
        <w:t>l’attuale deficit di tutela dei diritti dei soggetti in essa coinvolti</w:t>
      </w:r>
      <w:r w:rsidR="00594C64" w:rsidRPr="004D153A">
        <w:rPr>
          <w:rFonts w:asciiTheme="minorHAnsi" w:hAnsiTheme="minorHAnsi"/>
          <w:szCs w:val="24"/>
        </w:rPr>
        <w:t xml:space="preserve">. </w:t>
      </w:r>
    </w:p>
    <w:p w:rsidR="00A148CA" w:rsidRPr="004D153A" w:rsidRDefault="00594C64" w:rsidP="00055F44">
      <w:pPr>
        <w:spacing w:after="0" w:line="276" w:lineRule="auto"/>
        <w:ind w:left="30"/>
        <w:rPr>
          <w:rFonts w:asciiTheme="minorHAnsi" w:hAnsiTheme="minorHAnsi"/>
          <w:i/>
          <w:szCs w:val="24"/>
        </w:rPr>
      </w:pPr>
      <w:r w:rsidRPr="004D153A">
        <w:rPr>
          <w:rFonts w:asciiTheme="minorHAnsi" w:hAnsiTheme="minorHAnsi"/>
          <w:szCs w:val="24"/>
        </w:rPr>
        <w:t>In</w:t>
      </w:r>
      <w:r w:rsidR="00CA1E2E">
        <w:rPr>
          <w:rFonts w:asciiTheme="minorHAnsi" w:hAnsiTheme="minorHAnsi"/>
          <w:szCs w:val="24"/>
        </w:rPr>
        <w:t>fine</w:t>
      </w:r>
      <w:r w:rsidRPr="004D153A">
        <w:rPr>
          <w:rFonts w:asciiTheme="minorHAnsi" w:hAnsiTheme="minorHAnsi"/>
          <w:szCs w:val="24"/>
        </w:rPr>
        <w:t xml:space="preserve">, la Commissione </w:t>
      </w:r>
      <w:r w:rsidR="00A96827" w:rsidRPr="004D153A">
        <w:rPr>
          <w:rFonts w:asciiTheme="minorHAnsi" w:hAnsiTheme="minorHAnsi"/>
          <w:szCs w:val="24"/>
        </w:rPr>
        <w:t>ha sottolineato che</w:t>
      </w:r>
      <w:r w:rsidR="003A1DEB" w:rsidRPr="004D153A">
        <w:rPr>
          <w:rFonts w:asciiTheme="minorHAnsi" w:hAnsiTheme="minorHAnsi"/>
          <w:strike/>
          <w:szCs w:val="24"/>
        </w:rPr>
        <w:t>,</w:t>
      </w:r>
      <w:r w:rsidR="003A1DEB" w:rsidRPr="004D153A">
        <w:rPr>
          <w:rFonts w:asciiTheme="minorHAnsi" w:hAnsiTheme="minorHAnsi"/>
          <w:szCs w:val="24"/>
        </w:rPr>
        <w:t xml:space="preserve"> sebbene i</w:t>
      </w:r>
      <w:r w:rsidR="00A148CA" w:rsidRPr="004D153A">
        <w:rPr>
          <w:rFonts w:asciiTheme="minorHAnsi" w:hAnsiTheme="minorHAnsi"/>
          <w:szCs w:val="24"/>
        </w:rPr>
        <w:t>l canone interpretativo dell’articolo 29 della Costituzione, a garanzia del</w:t>
      </w:r>
      <w:r w:rsidR="00935A02" w:rsidRPr="004D153A">
        <w:rPr>
          <w:rFonts w:asciiTheme="minorHAnsi" w:hAnsiTheme="minorHAnsi"/>
          <w:szCs w:val="24"/>
        </w:rPr>
        <w:t>l’istituto familiare, predisponga</w:t>
      </w:r>
      <w:r w:rsidR="00A148CA" w:rsidRPr="004D153A">
        <w:rPr>
          <w:rFonts w:asciiTheme="minorHAnsi" w:hAnsiTheme="minorHAnsi"/>
          <w:szCs w:val="24"/>
        </w:rPr>
        <w:t xml:space="preserve"> una speciale tutela al matrimonio come unio</w:t>
      </w:r>
      <w:r w:rsidR="00935A02" w:rsidRPr="004D153A">
        <w:rPr>
          <w:rFonts w:asciiTheme="minorHAnsi" w:hAnsiTheme="minorHAnsi"/>
          <w:szCs w:val="24"/>
        </w:rPr>
        <w:t xml:space="preserve">ne tra persone di sesso diverso, nondimeno non </w:t>
      </w:r>
      <w:r w:rsidR="00CA1E2E">
        <w:rPr>
          <w:rFonts w:asciiTheme="minorHAnsi" w:hAnsiTheme="minorHAnsi"/>
          <w:szCs w:val="24"/>
        </w:rPr>
        <w:t>possa</w:t>
      </w:r>
      <w:r w:rsidR="00935A02" w:rsidRPr="004D153A">
        <w:rPr>
          <w:rFonts w:asciiTheme="minorHAnsi" w:hAnsiTheme="minorHAnsi"/>
          <w:szCs w:val="24"/>
        </w:rPr>
        <w:t xml:space="preserve"> escludersi che il legislatore</w:t>
      </w:r>
      <w:r w:rsidR="00A148CA" w:rsidRPr="004D153A">
        <w:rPr>
          <w:rFonts w:asciiTheme="minorHAnsi" w:hAnsiTheme="minorHAnsi"/>
          <w:szCs w:val="24"/>
        </w:rPr>
        <w:t xml:space="preserve"> </w:t>
      </w:r>
      <w:r w:rsidR="00935A02" w:rsidRPr="004D153A">
        <w:rPr>
          <w:rFonts w:asciiTheme="minorHAnsi" w:hAnsiTheme="minorHAnsi"/>
          <w:szCs w:val="24"/>
        </w:rPr>
        <w:t>estenda</w:t>
      </w:r>
      <w:r w:rsidR="00A148CA" w:rsidRPr="004D153A">
        <w:rPr>
          <w:rFonts w:asciiTheme="minorHAnsi" w:hAnsiTheme="minorHAnsi"/>
          <w:szCs w:val="24"/>
        </w:rPr>
        <w:t xml:space="preserve"> alle unioni civili diritti propri dell’istituto matrimoniale, </w:t>
      </w:r>
      <w:r w:rsidR="00561F91" w:rsidRPr="004D153A">
        <w:rPr>
          <w:rFonts w:asciiTheme="minorHAnsi" w:hAnsiTheme="minorHAnsi"/>
          <w:i/>
          <w:szCs w:val="24"/>
        </w:rPr>
        <w:t>"</w:t>
      </w:r>
      <w:r w:rsidR="00A148CA" w:rsidRPr="004D153A">
        <w:rPr>
          <w:rFonts w:asciiTheme="minorHAnsi" w:hAnsiTheme="minorHAnsi"/>
          <w:i/>
          <w:szCs w:val="24"/>
        </w:rPr>
        <w:t>la cui istanza di particolare protezione, accolta dal Costituente, non può considerarsi frustrata da una legislazione sulle unioni omosessuali che ne regoli le forme di esistenza giuridica, modellandole sul matrimonio</w:t>
      </w:r>
      <w:r w:rsidR="00561F91" w:rsidRPr="004D153A">
        <w:rPr>
          <w:rFonts w:asciiTheme="minorHAnsi" w:hAnsiTheme="minorHAnsi"/>
          <w:i/>
          <w:szCs w:val="24"/>
        </w:rPr>
        <w:t>".</w:t>
      </w:r>
    </w:p>
    <w:p w:rsidR="005B2CEB" w:rsidRDefault="00CA1E2E" w:rsidP="00CA1E2E">
      <w:pPr>
        <w:spacing w:after="0" w:line="276" w:lineRule="auto"/>
        <w:rPr>
          <w:rFonts w:asciiTheme="minorHAnsi" w:hAnsiTheme="minorHAnsi"/>
          <w:szCs w:val="24"/>
        </w:rPr>
      </w:pPr>
      <w:r>
        <w:rPr>
          <w:rFonts w:asciiTheme="minorHAnsi" w:hAnsiTheme="minorHAnsi"/>
          <w:szCs w:val="24"/>
        </w:rPr>
        <w:t>L</w:t>
      </w:r>
      <w:r w:rsidR="00E03C03" w:rsidRPr="004D153A">
        <w:rPr>
          <w:rFonts w:asciiTheme="minorHAnsi" w:hAnsiTheme="minorHAnsi"/>
          <w:szCs w:val="24"/>
        </w:rPr>
        <w:t>a Commissione Affari costituzionali ha, invece, espresso parere negativo in m</w:t>
      </w:r>
      <w:r w:rsidR="00BB0933" w:rsidRPr="004D153A">
        <w:rPr>
          <w:rFonts w:asciiTheme="minorHAnsi" w:hAnsiTheme="minorHAnsi"/>
          <w:szCs w:val="24"/>
        </w:rPr>
        <w:t>e</w:t>
      </w:r>
      <w:r w:rsidR="00E03C03" w:rsidRPr="004D153A">
        <w:rPr>
          <w:rFonts w:asciiTheme="minorHAnsi" w:hAnsiTheme="minorHAnsi"/>
          <w:szCs w:val="24"/>
        </w:rPr>
        <w:t>rito</w:t>
      </w:r>
      <w:r w:rsidR="00BB0933" w:rsidRPr="004D153A">
        <w:rPr>
          <w:rFonts w:asciiTheme="minorHAnsi" w:hAnsiTheme="minorHAnsi"/>
          <w:szCs w:val="24"/>
        </w:rPr>
        <w:t xml:space="preserve"> a 22 proposte emendative</w:t>
      </w:r>
      <w:r>
        <w:rPr>
          <w:rFonts w:asciiTheme="minorHAnsi" w:hAnsiTheme="minorHAnsi"/>
          <w:szCs w:val="24"/>
        </w:rPr>
        <w:t>,</w:t>
      </w:r>
      <w:r w:rsidR="00BB0933" w:rsidRPr="004D153A">
        <w:rPr>
          <w:rFonts w:asciiTheme="minorHAnsi" w:hAnsiTheme="minorHAnsi"/>
          <w:szCs w:val="24"/>
        </w:rPr>
        <w:t xml:space="preserve"> </w:t>
      </w:r>
      <w:r w:rsidR="00B308B1" w:rsidRPr="004D153A">
        <w:rPr>
          <w:rFonts w:asciiTheme="minorHAnsi" w:hAnsiTheme="minorHAnsi"/>
          <w:szCs w:val="24"/>
        </w:rPr>
        <w:t>evidenziandone alcuni profili di illegittimità, quali</w:t>
      </w:r>
      <w:r w:rsidR="000C7B50" w:rsidRPr="004D153A">
        <w:rPr>
          <w:rFonts w:asciiTheme="minorHAnsi" w:hAnsiTheme="minorHAnsi"/>
          <w:szCs w:val="24"/>
        </w:rPr>
        <w:t>:</w:t>
      </w:r>
      <w:r w:rsidR="00BB0933" w:rsidRPr="004D153A">
        <w:rPr>
          <w:rFonts w:asciiTheme="minorHAnsi" w:hAnsiTheme="minorHAnsi"/>
          <w:szCs w:val="24"/>
        </w:rPr>
        <w:t xml:space="preserve"> </w:t>
      </w:r>
    </w:p>
    <w:p w:rsidR="00493324" w:rsidRDefault="00493324" w:rsidP="00CA1E2E">
      <w:pPr>
        <w:spacing w:after="0" w:line="276" w:lineRule="auto"/>
        <w:rPr>
          <w:rFonts w:asciiTheme="minorHAnsi" w:hAnsiTheme="minorHAnsi"/>
          <w:szCs w:val="24"/>
        </w:rPr>
      </w:pPr>
    </w:p>
    <w:p w:rsidR="00493324" w:rsidRDefault="00493324" w:rsidP="00CA1E2E">
      <w:pPr>
        <w:spacing w:after="0" w:line="276" w:lineRule="auto"/>
        <w:rPr>
          <w:rFonts w:asciiTheme="minorHAnsi" w:hAnsiTheme="minorHAnsi"/>
          <w:szCs w:val="24"/>
        </w:rPr>
      </w:pPr>
    </w:p>
    <w:p w:rsidR="00493324" w:rsidRDefault="00493324" w:rsidP="00CA1E2E">
      <w:pPr>
        <w:spacing w:after="0" w:line="276" w:lineRule="auto"/>
        <w:rPr>
          <w:rFonts w:asciiTheme="minorHAnsi" w:hAnsiTheme="minorHAnsi"/>
          <w:szCs w:val="24"/>
        </w:rPr>
      </w:pPr>
    </w:p>
    <w:p w:rsidR="00AF5FDE" w:rsidRPr="004D153A" w:rsidRDefault="00B308B1" w:rsidP="00055F44">
      <w:pPr>
        <w:pStyle w:val="Paragrafoelenco"/>
        <w:numPr>
          <w:ilvl w:val="0"/>
          <w:numId w:val="1"/>
        </w:numPr>
        <w:spacing w:after="0" w:line="276" w:lineRule="auto"/>
        <w:rPr>
          <w:rFonts w:asciiTheme="minorHAnsi" w:hAnsiTheme="minorHAnsi"/>
          <w:szCs w:val="24"/>
        </w:rPr>
      </w:pPr>
      <w:r w:rsidRPr="004D153A">
        <w:rPr>
          <w:rFonts w:asciiTheme="minorHAnsi" w:hAnsiTheme="minorHAnsi"/>
          <w:szCs w:val="24"/>
        </w:rPr>
        <w:t xml:space="preserve">la </w:t>
      </w:r>
      <w:r w:rsidR="004C3BA5">
        <w:rPr>
          <w:rFonts w:asciiTheme="minorHAnsi" w:hAnsiTheme="minorHAnsi"/>
          <w:szCs w:val="24"/>
        </w:rPr>
        <w:t>limitazione del</w:t>
      </w:r>
      <w:r w:rsidR="00BB0933" w:rsidRPr="004D153A">
        <w:rPr>
          <w:rFonts w:asciiTheme="minorHAnsi" w:hAnsiTheme="minorHAnsi"/>
          <w:szCs w:val="24"/>
        </w:rPr>
        <w:t>l'efficacia temporale dell'istituto dell'unione civile tra persone dello stesso sesso</w:t>
      </w:r>
      <w:r w:rsidR="000C7B50" w:rsidRPr="004D153A">
        <w:rPr>
          <w:rFonts w:asciiTheme="minorHAnsi" w:hAnsiTheme="minorHAnsi"/>
          <w:szCs w:val="24"/>
        </w:rPr>
        <w:t xml:space="preserve"> </w:t>
      </w:r>
      <w:r w:rsidR="00AF5FDE" w:rsidRPr="004D153A">
        <w:rPr>
          <w:rFonts w:asciiTheme="minorHAnsi" w:hAnsiTheme="minorHAnsi"/>
          <w:szCs w:val="24"/>
        </w:rPr>
        <w:t xml:space="preserve">in quanto </w:t>
      </w:r>
      <w:r w:rsidR="000C7B50" w:rsidRPr="004D153A">
        <w:rPr>
          <w:rFonts w:asciiTheme="minorHAnsi" w:hAnsiTheme="minorHAnsi"/>
          <w:szCs w:val="24"/>
        </w:rPr>
        <w:t>incongru</w:t>
      </w:r>
      <w:r w:rsidRPr="004D153A">
        <w:rPr>
          <w:rFonts w:asciiTheme="minorHAnsi" w:hAnsiTheme="minorHAnsi"/>
          <w:szCs w:val="24"/>
        </w:rPr>
        <w:t>a</w:t>
      </w:r>
      <w:r w:rsidR="00AF5FDE" w:rsidRPr="004D153A">
        <w:rPr>
          <w:rFonts w:asciiTheme="minorHAnsi" w:hAnsiTheme="minorHAnsi"/>
          <w:szCs w:val="24"/>
        </w:rPr>
        <w:t xml:space="preserve"> e suscettibil</w:t>
      </w:r>
      <w:r w:rsidRPr="004D153A">
        <w:rPr>
          <w:rFonts w:asciiTheme="minorHAnsi" w:hAnsiTheme="minorHAnsi"/>
          <w:szCs w:val="24"/>
        </w:rPr>
        <w:t>e</w:t>
      </w:r>
      <w:r w:rsidR="000C7B50" w:rsidRPr="004D153A">
        <w:rPr>
          <w:rFonts w:asciiTheme="minorHAnsi" w:hAnsiTheme="minorHAnsi"/>
          <w:szCs w:val="24"/>
        </w:rPr>
        <w:t xml:space="preserve"> di determinare incertezze di natura interpretativa</w:t>
      </w:r>
      <w:r w:rsidR="00AF5FDE" w:rsidRPr="004D153A">
        <w:rPr>
          <w:rFonts w:asciiTheme="minorHAnsi" w:hAnsiTheme="minorHAnsi"/>
          <w:szCs w:val="24"/>
        </w:rPr>
        <w:t>, nonché</w:t>
      </w:r>
      <w:r w:rsidR="000C7B50" w:rsidRPr="004D153A">
        <w:rPr>
          <w:rFonts w:asciiTheme="minorHAnsi" w:hAnsiTheme="minorHAnsi"/>
          <w:szCs w:val="24"/>
        </w:rPr>
        <w:t xml:space="preserve"> di ingenerare disparità di trattamento;</w:t>
      </w:r>
    </w:p>
    <w:p w:rsidR="00E03C03" w:rsidRPr="004D153A" w:rsidRDefault="00B308B1" w:rsidP="00055F44">
      <w:pPr>
        <w:pStyle w:val="Paragrafoelenco"/>
        <w:numPr>
          <w:ilvl w:val="0"/>
          <w:numId w:val="1"/>
        </w:numPr>
        <w:spacing w:after="0" w:line="276" w:lineRule="auto"/>
        <w:rPr>
          <w:rFonts w:asciiTheme="minorHAnsi" w:hAnsiTheme="minorHAnsi"/>
          <w:szCs w:val="24"/>
        </w:rPr>
      </w:pPr>
      <w:r w:rsidRPr="004D153A">
        <w:rPr>
          <w:rFonts w:asciiTheme="minorHAnsi" w:hAnsiTheme="minorHAnsi"/>
          <w:szCs w:val="24"/>
        </w:rPr>
        <w:t>la subordinazione</w:t>
      </w:r>
      <w:r w:rsidR="000C7B50" w:rsidRPr="004D153A">
        <w:rPr>
          <w:rFonts w:asciiTheme="minorHAnsi" w:hAnsiTheme="minorHAnsi"/>
          <w:szCs w:val="24"/>
        </w:rPr>
        <w:t xml:space="preserve"> </w:t>
      </w:r>
      <w:r w:rsidRPr="004D153A">
        <w:rPr>
          <w:rFonts w:asciiTheme="minorHAnsi" w:hAnsiTheme="minorHAnsi"/>
          <w:szCs w:val="24"/>
        </w:rPr>
        <w:t>del</w:t>
      </w:r>
      <w:r w:rsidR="000C7B50" w:rsidRPr="004D153A">
        <w:rPr>
          <w:rFonts w:asciiTheme="minorHAnsi" w:hAnsiTheme="minorHAnsi"/>
          <w:szCs w:val="24"/>
        </w:rPr>
        <w:t xml:space="preserve">la costituzione dell'unione civile alla cittadinanza italiana di almeno una delle due parti, </w:t>
      </w:r>
      <w:r w:rsidRPr="004D153A">
        <w:rPr>
          <w:rFonts w:asciiTheme="minorHAnsi" w:hAnsiTheme="minorHAnsi"/>
          <w:szCs w:val="24"/>
        </w:rPr>
        <w:t>in quanto</w:t>
      </w:r>
      <w:r w:rsidR="00AF5FDE" w:rsidRPr="004D153A">
        <w:rPr>
          <w:rFonts w:asciiTheme="minorHAnsi" w:hAnsiTheme="minorHAnsi"/>
          <w:szCs w:val="24"/>
        </w:rPr>
        <w:t>,</w:t>
      </w:r>
      <w:r w:rsidRPr="004D153A">
        <w:rPr>
          <w:rFonts w:asciiTheme="minorHAnsi" w:hAnsiTheme="minorHAnsi"/>
          <w:szCs w:val="24"/>
        </w:rPr>
        <w:t xml:space="preserve"> suscettibile</w:t>
      </w:r>
      <w:r w:rsidR="000C7B50" w:rsidRPr="004D153A">
        <w:rPr>
          <w:rFonts w:asciiTheme="minorHAnsi" w:hAnsiTheme="minorHAnsi"/>
          <w:szCs w:val="24"/>
        </w:rPr>
        <w:t xml:space="preserve"> di ledere il principio di eguaglianza</w:t>
      </w:r>
      <w:r w:rsidR="00AF5FDE" w:rsidRPr="004D153A">
        <w:rPr>
          <w:rFonts w:asciiTheme="minorHAnsi" w:hAnsiTheme="minorHAnsi"/>
          <w:szCs w:val="24"/>
        </w:rPr>
        <w:t>;</w:t>
      </w:r>
    </w:p>
    <w:p w:rsidR="00AF5FDE" w:rsidRPr="004D153A" w:rsidRDefault="00B308B1" w:rsidP="00055F44">
      <w:pPr>
        <w:pStyle w:val="Paragrafoelenco"/>
        <w:numPr>
          <w:ilvl w:val="0"/>
          <w:numId w:val="1"/>
        </w:numPr>
        <w:spacing w:after="0" w:line="276" w:lineRule="auto"/>
        <w:rPr>
          <w:rFonts w:asciiTheme="minorHAnsi" w:hAnsiTheme="minorHAnsi"/>
          <w:szCs w:val="24"/>
        </w:rPr>
      </w:pPr>
      <w:r w:rsidRPr="004D153A">
        <w:rPr>
          <w:rFonts w:asciiTheme="minorHAnsi" w:hAnsiTheme="minorHAnsi"/>
          <w:szCs w:val="24"/>
        </w:rPr>
        <w:t>la limitazione</w:t>
      </w:r>
      <w:r w:rsidR="00025F47" w:rsidRPr="004D153A">
        <w:rPr>
          <w:rFonts w:asciiTheme="minorHAnsi" w:hAnsiTheme="minorHAnsi"/>
          <w:szCs w:val="24"/>
        </w:rPr>
        <w:t xml:space="preserve"> </w:t>
      </w:r>
      <w:r w:rsidR="00CA1E2E">
        <w:rPr>
          <w:rFonts w:asciiTheme="minorHAnsi" w:hAnsiTheme="minorHAnsi"/>
          <w:szCs w:val="24"/>
        </w:rPr>
        <w:t>del</w:t>
      </w:r>
      <w:r w:rsidR="00025F47" w:rsidRPr="004D153A">
        <w:rPr>
          <w:rFonts w:asciiTheme="minorHAnsi" w:hAnsiTheme="minorHAnsi"/>
          <w:szCs w:val="24"/>
        </w:rPr>
        <w:t xml:space="preserve">l'unione civile alle sole persone di sesso diverso, </w:t>
      </w:r>
      <w:r w:rsidR="00E1479F" w:rsidRPr="004D153A">
        <w:rPr>
          <w:rFonts w:asciiTheme="minorHAnsi" w:hAnsiTheme="minorHAnsi"/>
          <w:szCs w:val="24"/>
        </w:rPr>
        <w:t>in quanto lesiva</w:t>
      </w:r>
      <w:r w:rsidR="00025F47" w:rsidRPr="004D153A">
        <w:rPr>
          <w:rFonts w:asciiTheme="minorHAnsi" w:hAnsiTheme="minorHAnsi"/>
          <w:szCs w:val="24"/>
        </w:rPr>
        <w:t xml:space="preserve"> del principio di uguaglianza, nonché in contrasto con l'articolo 2, che tutela le formazioni sociali, tra le quali - come </w:t>
      </w:r>
      <w:r w:rsidR="008632E1" w:rsidRPr="004D153A">
        <w:rPr>
          <w:rFonts w:asciiTheme="minorHAnsi" w:hAnsiTheme="minorHAnsi"/>
          <w:szCs w:val="24"/>
        </w:rPr>
        <w:t xml:space="preserve">ripetutamente </w:t>
      </w:r>
      <w:r w:rsidR="00025F47" w:rsidRPr="004D153A">
        <w:rPr>
          <w:rFonts w:asciiTheme="minorHAnsi" w:hAnsiTheme="minorHAnsi"/>
          <w:szCs w:val="24"/>
        </w:rPr>
        <w:t xml:space="preserve">affermato </w:t>
      </w:r>
      <w:r w:rsidR="008632E1" w:rsidRPr="004D153A">
        <w:rPr>
          <w:rFonts w:asciiTheme="minorHAnsi" w:hAnsiTheme="minorHAnsi"/>
          <w:szCs w:val="24"/>
        </w:rPr>
        <w:t>dal</w:t>
      </w:r>
      <w:r w:rsidR="00025F47" w:rsidRPr="004D153A">
        <w:rPr>
          <w:rFonts w:asciiTheme="minorHAnsi" w:hAnsiTheme="minorHAnsi"/>
          <w:szCs w:val="24"/>
        </w:rPr>
        <w:t>la Corte costituzionale - possono essere ricomprese le unioni di natura tra persone dello stesso sesso;</w:t>
      </w:r>
    </w:p>
    <w:p w:rsidR="00CA41F4" w:rsidRDefault="008632E1" w:rsidP="00055F44">
      <w:pPr>
        <w:pStyle w:val="Paragrafoelenco"/>
        <w:numPr>
          <w:ilvl w:val="0"/>
          <w:numId w:val="1"/>
        </w:numPr>
        <w:spacing w:after="0" w:line="276" w:lineRule="auto"/>
        <w:rPr>
          <w:rFonts w:asciiTheme="minorHAnsi" w:hAnsiTheme="minorHAnsi"/>
          <w:szCs w:val="24"/>
        </w:rPr>
      </w:pPr>
      <w:r w:rsidRPr="004D153A">
        <w:rPr>
          <w:rFonts w:asciiTheme="minorHAnsi" w:hAnsiTheme="minorHAnsi"/>
          <w:szCs w:val="24"/>
        </w:rPr>
        <w:t>l'esclusione dell</w:t>
      </w:r>
      <w:r w:rsidR="00CA41F4" w:rsidRPr="004D153A">
        <w:rPr>
          <w:rFonts w:asciiTheme="minorHAnsi" w:hAnsiTheme="minorHAnsi"/>
          <w:szCs w:val="24"/>
        </w:rPr>
        <w:t xml:space="preserve">a costituzione di un'unione civile nell'ipotesi che una delle parti sia genitore, </w:t>
      </w:r>
      <w:r w:rsidRPr="004D153A">
        <w:rPr>
          <w:rFonts w:asciiTheme="minorHAnsi" w:hAnsiTheme="minorHAnsi"/>
          <w:szCs w:val="24"/>
        </w:rPr>
        <w:t>poiché</w:t>
      </w:r>
      <w:r w:rsidR="00CA41F4" w:rsidRPr="004D153A">
        <w:rPr>
          <w:rFonts w:asciiTheme="minorHAnsi" w:hAnsiTheme="minorHAnsi"/>
          <w:szCs w:val="24"/>
        </w:rPr>
        <w:t xml:space="preserve"> limita irragionevolmente il diritto ad accedere all'istituto;</w:t>
      </w:r>
    </w:p>
    <w:p w:rsidR="00CA41F4" w:rsidRPr="004D153A" w:rsidRDefault="00160514" w:rsidP="00055F44">
      <w:pPr>
        <w:pStyle w:val="Paragrafoelenco"/>
        <w:numPr>
          <w:ilvl w:val="0"/>
          <w:numId w:val="1"/>
        </w:numPr>
        <w:spacing w:after="0" w:line="276" w:lineRule="auto"/>
        <w:rPr>
          <w:rFonts w:asciiTheme="minorHAnsi" w:hAnsiTheme="minorHAnsi"/>
          <w:szCs w:val="24"/>
        </w:rPr>
      </w:pPr>
      <w:r w:rsidRPr="004D153A">
        <w:rPr>
          <w:rFonts w:asciiTheme="minorHAnsi" w:hAnsiTheme="minorHAnsi"/>
          <w:szCs w:val="24"/>
        </w:rPr>
        <w:t>il riconoscimento</w:t>
      </w:r>
      <w:r w:rsidR="00CA41F4" w:rsidRPr="004D153A">
        <w:rPr>
          <w:rFonts w:asciiTheme="minorHAnsi" w:hAnsiTheme="minorHAnsi"/>
          <w:szCs w:val="24"/>
        </w:rPr>
        <w:t xml:space="preserve"> alle singole giunte comunali </w:t>
      </w:r>
      <w:r w:rsidRPr="004D153A">
        <w:rPr>
          <w:rFonts w:asciiTheme="minorHAnsi" w:hAnsiTheme="minorHAnsi"/>
          <w:szCs w:val="24"/>
        </w:rPr>
        <w:t>del</w:t>
      </w:r>
      <w:r w:rsidR="00CA41F4" w:rsidRPr="004D153A">
        <w:rPr>
          <w:rFonts w:asciiTheme="minorHAnsi" w:hAnsiTheme="minorHAnsi"/>
          <w:szCs w:val="24"/>
        </w:rPr>
        <w:t xml:space="preserve">la decisione di istituire i registri delle unioni civili, </w:t>
      </w:r>
      <w:r w:rsidRPr="004D153A">
        <w:rPr>
          <w:rFonts w:asciiTheme="minorHAnsi" w:hAnsiTheme="minorHAnsi"/>
          <w:szCs w:val="24"/>
        </w:rPr>
        <w:t>in quanto lesiva</w:t>
      </w:r>
      <w:r w:rsidR="00CA41F4" w:rsidRPr="004D153A">
        <w:rPr>
          <w:rFonts w:asciiTheme="minorHAnsi" w:hAnsiTheme="minorHAnsi"/>
          <w:szCs w:val="24"/>
        </w:rPr>
        <w:t xml:space="preserve"> della competenza statale in materia di stato civile e anagrafi.</w:t>
      </w:r>
    </w:p>
    <w:p w:rsidR="00E80460" w:rsidRPr="004D153A" w:rsidRDefault="00E80460" w:rsidP="00055F44">
      <w:pPr>
        <w:pStyle w:val="Paragrafoelenco"/>
        <w:spacing w:after="0" w:line="276" w:lineRule="auto"/>
        <w:ind w:left="0"/>
        <w:rPr>
          <w:rFonts w:asciiTheme="minorHAnsi" w:hAnsiTheme="minorHAnsi"/>
          <w:strike/>
          <w:szCs w:val="24"/>
        </w:rPr>
      </w:pPr>
    </w:p>
    <w:p w:rsidR="00CC5F77" w:rsidRPr="004D153A" w:rsidRDefault="00CC5F77" w:rsidP="00055F44">
      <w:pPr>
        <w:pStyle w:val="Paragrafoelenco"/>
        <w:spacing w:after="0" w:line="276" w:lineRule="auto"/>
        <w:ind w:left="0"/>
        <w:jc w:val="left"/>
        <w:rPr>
          <w:rFonts w:asciiTheme="minorHAnsi" w:hAnsiTheme="minorHAnsi"/>
          <w:i/>
          <w:szCs w:val="24"/>
        </w:rPr>
      </w:pPr>
    </w:p>
    <w:p w:rsidR="00CB68A4" w:rsidRPr="004D153A" w:rsidRDefault="00CB68A4" w:rsidP="00055F44">
      <w:pPr>
        <w:pStyle w:val="Paragrafoelenco"/>
        <w:spacing w:after="0" w:line="276" w:lineRule="auto"/>
        <w:ind w:left="0"/>
        <w:jc w:val="left"/>
        <w:rPr>
          <w:rFonts w:asciiTheme="minorHAnsi" w:hAnsiTheme="minorHAnsi"/>
          <w:i/>
          <w:szCs w:val="24"/>
        </w:rPr>
      </w:pPr>
    </w:p>
    <w:p w:rsidR="00E31A1C" w:rsidRPr="004D153A" w:rsidRDefault="00E31A1C" w:rsidP="00CC5F77">
      <w:pPr>
        <w:pStyle w:val="Paragrafoelenco"/>
        <w:ind w:left="0"/>
        <w:jc w:val="left"/>
        <w:rPr>
          <w:rFonts w:asciiTheme="minorHAnsi" w:hAnsiTheme="minorHAnsi"/>
          <w:i/>
          <w:szCs w:val="24"/>
        </w:rPr>
      </w:pPr>
    </w:p>
    <w:p w:rsidR="00CC5F77" w:rsidRPr="004D153A" w:rsidRDefault="00CC5F77" w:rsidP="00CC5F77">
      <w:pPr>
        <w:pStyle w:val="Paragrafoelenco"/>
        <w:ind w:left="0"/>
        <w:jc w:val="left"/>
        <w:rPr>
          <w:rFonts w:asciiTheme="minorHAnsi" w:hAnsiTheme="minorHAnsi"/>
          <w:szCs w:val="24"/>
        </w:rPr>
      </w:pPr>
    </w:p>
    <w:p w:rsidR="00E66A9D" w:rsidRPr="004D153A" w:rsidRDefault="00E66A9D">
      <w:pPr>
        <w:rPr>
          <w:rFonts w:asciiTheme="minorHAnsi" w:hAnsiTheme="minorHAnsi"/>
          <w:szCs w:val="24"/>
        </w:rPr>
      </w:pPr>
    </w:p>
    <w:sectPr w:rsidR="00E66A9D" w:rsidRPr="004D153A" w:rsidSect="005D207A">
      <w:headerReference w:type="default" r:id="rId15"/>
      <w:footerReference w:type="default" r:id="rId16"/>
      <w:pgSz w:w="11906" w:h="16838"/>
      <w:pgMar w:top="1417" w:right="1134" w:bottom="1134" w:left="1134" w:header="96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E26" w:rsidRDefault="004B3E26" w:rsidP="008501BD">
      <w:pPr>
        <w:spacing w:after="0"/>
      </w:pPr>
      <w:r>
        <w:separator/>
      </w:r>
    </w:p>
  </w:endnote>
  <w:endnote w:type="continuationSeparator" w:id="0">
    <w:p w:rsidR="004B3E26" w:rsidRDefault="004B3E26" w:rsidP="008501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6039"/>
      <w:docPartObj>
        <w:docPartGallery w:val="Page Numbers (Bottom of Page)"/>
        <w:docPartUnique/>
      </w:docPartObj>
    </w:sdtPr>
    <w:sdtContent>
      <w:p w:rsidR="004B3E26" w:rsidRDefault="00A3100B">
        <w:pPr>
          <w:pStyle w:val="Pidipagina"/>
          <w:jc w:val="center"/>
        </w:pPr>
        <w:fldSimple w:instr=" PAGE   \* MERGEFORMAT ">
          <w:r w:rsidR="00D75551">
            <w:rPr>
              <w:noProof/>
            </w:rPr>
            <w:t>9</w:t>
          </w:r>
        </w:fldSimple>
      </w:p>
    </w:sdtContent>
  </w:sdt>
  <w:p w:rsidR="004B3E26" w:rsidRDefault="004B3E2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E26" w:rsidRDefault="004B3E26" w:rsidP="008501BD">
      <w:pPr>
        <w:spacing w:after="0"/>
      </w:pPr>
      <w:r>
        <w:separator/>
      </w:r>
    </w:p>
  </w:footnote>
  <w:footnote w:type="continuationSeparator" w:id="0">
    <w:p w:rsidR="004B3E26" w:rsidRDefault="004B3E26" w:rsidP="008501BD">
      <w:pPr>
        <w:spacing w:after="0"/>
      </w:pPr>
      <w:r>
        <w:continuationSeparator/>
      </w:r>
    </w:p>
  </w:footnote>
  <w:footnote w:id="1">
    <w:p w:rsidR="004B3E26" w:rsidRPr="00AE1FCD" w:rsidRDefault="004B3E26" w:rsidP="00AE1FCD">
      <w:pPr>
        <w:pStyle w:val="Testonotaapidipagina"/>
        <w:rPr>
          <w:color w:val="FF0000"/>
        </w:rPr>
      </w:pPr>
      <w:r w:rsidRPr="00AE1FCD">
        <w:rPr>
          <w:color w:val="FF0000"/>
        </w:rPr>
        <w:footnoteRef/>
      </w:r>
      <w:r w:rsidRPr="00AE1FCD">
        <w:rPr>
          <w:color w:val="FF0000"/>
        </w:rPr>
        <w:t xml:space="preserve"> In sede di Consiglio d’Europa (</w:t>
      </w:r>
      <w:proofErr w:type="spellStart"/>
      <w:r w:rsidRPr="00AE1FCD">
        <w:rPr>
          <w:color w:val="FF0000"/>
        </w:rPr>
        <w:t>CdE</w:t>
      </w:r>
      <w:proofErr w:type="spellEnd"/>
      <w:r w:rsidRPr="00AE1FCD">
        <w:rPr>
          <w:color w:val="FF0000"/>
        </w:rPr>
        <w:t xml:space="preserve">) </w:t>
      </w:r>
      <w:r>
        <w:rPr>
          <w:color w:val="FF0000"/>
        </w:rPr>
        <w:t>l'attenzione alle</w:t>
      </w:r>
      <w:r w:rsidRPr="00AE1FCD">
        <w:rPr>
          <w:color w:val="FF0000"/>
        </w:rPr>
        <w:t xml:space="preserve"> discriminazioni in base all’orientamento</w:t>
      </w:r>
      <w:r>
        <w:rPr>
          <w:color w:val="FF0000"/>
        </w:rPr>
        <w:t xml:space="preserve"> </w:t>
      </w:r>
      <w:r w:rsidRPr="00AE1FCD">
        <w:rPr>
          <w:color w:val="FF0000"/>
        </w:rPr>
        <w:t>sessuale cominciò ad emergere già nel 1981. In quell’anno</w:t>
      </w:r>
      <w:r>
        <w:rPr>
          <w:color w:val="FF0000"/>
        </w:rPr>
        <w:t>,</w:t>
      </w:r>
      <w:r w:rsidRPr="00AE1FCD">
        <w:rPr>
          <w:color w:val="FF0000"/>
        </w:rPr>
        <w:t xml:space="preserve"> con la Risoluzione 75611</w:t>
      </w:r>
      <w:r>
        <w:rPr>
          <w:color w:val="FF0000"/>
        </w:rPr>
        <w:t>,</w:t>
      </w:r>
      <w:r w:rsidRPr="00AE1FCD">
        <w:rPr>
          <w:color w:val="FF0000"/>
        </w:rPr>
        <w:t xml:space="preserve"> il </w:t>
      </w:r>
      <w:proofErr w:type="spellStart"/>
      <w:r w:rsidRPr="00AE1FCD">
        <w:rPr>
          <w:color w:val="FF0000"/>
        </w:rPr>
        <w:t>CdE</w:t>
      </w:r>
      <w:proofErr w:type="spellEnd"/>
      <w:r w:rsidRPr="00AE1FCD">
        <w:rPr>
          <w:color w:val="FF0000"/>
        </w:rPr>
        <w:t xml:space="preserve"> invitò</w:t>
      </w:r>
      <w:r>
        <w:rPr>
          <w:color w:val="FF0000"/>
        </w:rPr>
        <w:t xml:space="preserve"> </w:t>
      </w:r>
      <w:r w:rsidRPr="00AE1FCD">
        <w:rPr>
          <w:color w:val="FF0000"/>
        </w:rPr>
        <w:t>l’Organizzazione Mondiale della Sanità a rimuovere l’omosessualità dalla lista delle malattie riconosciute.</w:t>
      </w:r>
      <w:r>
        <w:rPr>
          <w:color w:val="FF0000"/>
        </w:rPr>
        <w:t xml:space="preserve"> </w:t>
      </w:r>
      <w:r w:rsidRPr="00AE1FCD">
        <w:rPr>
          <w:color w:val="FF0000"/>
        </w:rPr>
        <w:t xml:space="preserve">Nello stesso anno, il </w:t>
      </w:r>
      <w:proofErr w:type="spellStart"/>
      <w:r w:rsidRPr="00AE1FCD">
        <w:rPr>
          <w:color w:val="FF0000"/>
        </w:rPr>
        <w:t>CdE</w:t>
      </w:r>
      <w:proofErr w:type="spellEnd"/>
      <w:r w:rsidRPr="00AE1FCD">
        <w:rPr>
          <w:color w:val="FF0000"/>
        </w:rPr>
        <w:t xml:space="preserve"> approvò anche la Raccomandazione 92412 in cui richiedeva agli Stati di abolire</w:t>
      </w:r>
      <w:r>
        <w:rPr>
          <w:color w:val="FF0000"/>
        </w:rPr>
        <w:t xml:space="preserve"> </w:t>
      </w:r>
      <w:r w:rsidRPr="00AE1FCD">
        <w:rPr>
          <w:color w:val="FF0000"/>
        </w:rPr>
        <w:t>tutte le norme penali aventi ad oggetto l’attività sessuale di tipo omosessuale</w:t>
      </w:r>
      <w:r>
        <w:rPr>
          <w:color w:val="FF0000"/>
        </w:rPr>
        <w:t xml:space="preserve">. </w:t>
      </w:r>
    </w:p>
  </w:footnote>
  <w:footnote w:id="2">
    <w:p w:rsidR="004B3E26" w:rsidRPr="00625B37" w:rsidRDefault="004B3E26" w:rsidP="00014CBE">
      <w:pPr>
        <w:pStyle w:val="NormaleWeb"/>
        <w:shd w:val="clear" w:color="auto" w:fill="FFFFFF"/>
        <w:jc w:val="both"/>
        <w:rPr>
          <w:color w:val="FF0000"/>
          <w:sz w:val="20"/>
          <w:szCs w:val="20"/>
        </w:rPr>
      </w:pPr>
      <w:r w:rsidRPr="00014CBE">
        <w:rPr>
          <w:rStyle w:val="Rimandonotaapidipagina"/>
          <w:color w:val="FF0000"/>
        </w:rPr>
        <w:footnoteRef/>
      </w:r>
      <w:r>
        <w:t xml:space="preserve"> </w:t>
      </w:r>
      <w:r w:rsidRPr="00625B37">
        <w:rPr>
          <w:color w:val="FF0000"/>
          <w:sz w:val="20"/>
          <w:szCs w:val="20"/>
        </w:rPr>
        <w:t>Nel giugno del 2015 la Corte Suprema</w:t>
      </w:r>
      <w:r>
        <w:rPr>
          <w:color w:val="FF0000"/>
          <w:sz w:val="20"/>
          <w:szCs w:val="20"/>
        </w:rPr>
        <w:t xml:space="preserve"> degli Stati Uniti,</w:t>
      </w:r>
      <w:r w:rsidRPr="00625B37">
        <w:rPr>
          <w:color w:val="FF0000"/>
          <w:sz w:val="20"/>
          <w:szCs w:val="20"/>
        </w:rPr>
        <w:t xml:space="preserve"> </w:t>
      </w:r>
      <w:r>
        <w:rPr>
          <w:color w:val="FF0000"/>
          <w:sz w:val="20"/>
          <w:szCs w:val="20"/>
        </w:rPr>
        <w:t xml:space="preserve">con la sentenza </w:t>
      </w:r>
      <w:hyperlink r:id="rId1" w:history="1">
        <w:proofErr w:type="spellStart"/>
        <w:r w:rsidRPr="00F47556">
          <w:rPr>
            <w:rStyle w:val="Collegamentoipertestuale"/>
            <w:i/>
            <w:sz w:val="20"/>
            <w:szCs w:val="20"/>
          </w:rPr>
          <w:t>Obergefell</w:t>
        </w:r>
        <w:proofErr w:type="spellEnd"/>
        <w:r w:rsidRPr="00F47556">
          <w:rPr>
            <w:rStyle w:val="Collegamentoipertestuale"/>
            <w:i/>
            <w:sz w:val="20"/>
            <w:szCs w:val="20"/>
          </w:rPr>
          <w:t xml:space="preserve"> v. </w:t>
        </w:r>
        <w:proofErr w:type="spellStart"/>
        <w:r w:rsidRPr="00F47556">
          <w:rPr>
            <w:rStyle w:val="Collegamentoipertestuale"/>
            <w:i/>
            <w:sz w:val="20"/>
            <w:szCs w:val="20"/>
          </w:rPr>
          <w:t>Hodges</w:t>
        </w:r>
        <w:proofErr w:type="spellEnd"/>
      </w:hyperlink>
      <w:r>
        <w:rPr>
          <w:color w:val="FF0000"/>
          <w:sz w:val="20"/>
          <w:szCs w:val="20"/>
        </w:rPr>
        <w:t xml:space="preserve">, ha affermato </w:t>
      </w:r>
      <w:r w:rsidRPr="00625B37">
        <w:rPr>
          <w:color w:val="FF0000"/>
          <w:sz w:val="20"/>
          <w:szCs w:val="20"/>
        </w:rPr>
        <w:t>che gli Stati non hanno, in base al XIV Emendamento della Costituzione degli Stati Uniti</w:t>
      </w:r>
      <w:r w:rsidRPr="00625B37">
        <w:rPr>
          <w:i/>
          <w:iCs/>
          <w:color w:val="FF0000"/>
          <w:sz w:val="20"/>
          <w:szCs w:val="20"/>
        </w:rPr>
        <w:t xml:space="preserve">, </w:t>
      </w:r>
      <w:r w:rsidRPr="00625B37">
        <w:rPr>
          <w:color w:val="FF0000"/>
          <w:sz w:val="20"/>
          <w:szCs w:val="20"/>
        </w:rPr>
        <w:t xml:space="preserve">né il diritto di negare licenze di matrimonio alle coppie dello stesso sesso, né quello di vietare, in base alla § 2 del </w:t>
      </w:r>
      <w:proofErr w:type="spellStart"/>
      <w:r w:rsidRPr="00625B37">
        <w:rPr>
          <w:i/>
          <w:iCs/>
          <w:color w:val="FF0000"/>
          <w:sz w:val="20"/>
          <w:szCs w:val="20"/>
        </w:rPr>
        <w:t>Defense</w:t>
      </w:r>
      <w:proofErr w:type="spellEnd"/>
      <w:r w:rsidRPr="00625B37">
        <w:rPr>
          <w:i/>
          <w:iCs/>
          <w:color w:val="FF0000"/>
          <w:sz w:val="20"/>
          <w:szCs w:val="20"/>
        </w:rPr>
        <w:t xml:space="preserve"> </w:t>
      </w:r>
      <w:proofErr w:type="spellStart"/>
      <w:r w:rsidRPr="00625B37">
        <w:rPr>
          <w:i/>
          <w:iCs/>
          <w:color w:val="FF0000"/>
          <w:sz w:val="20"/>
          <w:szCs w:val="20"/>
        </w:rPr>
        <w:t>of</w:t>
      </w:r>
      <w:proofErr w:type="spellEnd"/>
      <w:r w:rsidRPr="00625B37">
        <w:rPr>
          <w:i/>
          <w:iCs/>
          <w:color w:val="FF0000"/>
          <w:sz w:val="20"/>
          <w:szCs w:val="20"/>
        </w:rPr>
        <w:t xml:space="preserve"> </w:t>
      </w:r>
      <w:proofErr w:type="spellStart"/>
      <w:r w:rsidRPr="00625B37">
        <w:rPr>
          <w:i/>
          <w:iCs/>
          <w:color w:val="FF0000"/>
          <w:sz w:val="20"/>
          <w:szCs w:val="20"/>
        </w:rPr>
        <w:t>Marriage</w:t>
      </w:r>
      <w:proofErr w:type="spellEnd"/>
      <w:r w:rsidRPr="00625B37">
        <w:rPr>
          <w:i/>
          <w:iCs/>
          <w:color w:val="FF0000"/>
          <w:sz w:val="20"/>
          <w:szCs w:val="20"/>
        </w:rPr>
        <w:t xml:space="preserve"> </w:t>
      </w:r>
      <w:proofErr w:type="spellStart"/>
      <w:r w:rsidRPr="00625B37">
        <w:rPr>
          <w:i/>
          <w:iCs/>
          <w:color w:val="FF0000"/>
          <w:sz w:val="20"/>
          <w:szCs w:val="20"/>
        </w:rPr>
        <w:t>Act</w:t>
      </w:r>
      <w:proofErr w:type="spellEnd"/>
      <w:r w:rsidRPr="00625B37">
        <w:rPr>
          <w:color w:val="FF0000"/>
          <w:sz w:val="20"/>
          <w:szCs w:val="20"/>
        </w:rPr>
        <w:t>, il riconoscimento dei matrimoni “legalmente autorizzati e contratti” in altri stati dell’Unione. La sentenza apre</w:t>
      </w:r>
      <w:r>
        <w:rPr>
          <w:color w:val="FF0000"/>
          <w:sz w:val="20"/>
          <w:szCs w:val="20"/>
        </w:rPr>
        <w:t>, pertanto,</w:t>
      </w:r>
      <w:r w:rsidRPr="00625B37">
        <w:rPr>
          <w:color w:val="FF0000"/>
          <w:sz w:val="20"/>
          <w:szCs w:val="20"/>
        </w:rPr>
        <w:t xml:space="preserve"> al riconoscimento del diritto al matrimonio </w:t>
      </w:r>
      <w:r>
        <w:rPr>
          <w:color w:val="FF0000"/>
          <w:sz w:val="20"/>
          <w:szCs w:val="20"/>
        </w:rPr>
        <w:t>tra persone dello stesso sesso</w:t>
      </w:r>
      <w:r w:rsidRPr="00625B37">
        <w:rPr>
          <w:i/>
          <w:iCs/>
          <w:color w:val="FF0000"/>
          <w:sz w:val="20"/>
          <w:szCs w:val="20"/>
        </w:rPr>
        <w:t xml:space="preserve"> </w:t>
      </w:r>
      <w:r w:rsidRPr="00625B37">
        <w:rPr>
          <w:color w:val="FF0000"/>
          <w:sz w:val="20"/>
          <w:szCs w:val="20"/>
        </w:rPr>
        <w:t>in tutti gli Stati dell’Unione. Prima della decisione, infatti, il diritto delle coppie omosessuali di unirsi in matrimonio era riconosciuto in 36 dei 50 Stati.</w:t>
      </w:r>
    </w:p>
    <w:p w:rsidR="004B3E26" w:rsidRDefault="004B3E26">
      <w:pPr>
        <w:pStyle w:val="Testonotaapidipagina"/>
      </w:pPr>
    </w:p>
  </w:footnote>
  <w:footnote w:id="3">
    <w:p w:rsidR="004B3E26" w:rsidRPr="004048BD" w:rsidRDefault="004B3E26">
      <w:pPr>
        <w:pStyle w:val="Testonotaapidipagina"/>
        <w:rPr>
          <w:color w:val="FF0000"/>
        </w:rPr>
      </w:pPr>
      <w:r w:rsidRPr="00D75551">
        <w:rPr>
          <w:rStyle w:val="Rimandonotaapidipagina"/>
          <w:color w:val="FF0000"/>
        </w:rPr>
        <w:footnoteRef/>
      </w:r>
      <w:r w:rsidRPr="00D75551">
        <w:rPr>
          <w:color w:val="FF0000"/>
        </w:rPr>
        <w:t xml:space="preserve"> </w:t>
      </w:r>
      <w:r w:rsidRPr="006275D8">
        <w:rPr>
          <w:color w:val="FF0000"/>
        </w:rPr>
        <w:t xml:space="preserve">In Austria l'adozione di minorenni da parte di coppie dello stesso sesso è divenuta legale il 14 gennaio 2015, </w:t>
      </w:r>
      <w:r>
        <w:rPr>
          <w:color w:val="FF0000"/>
        </w:rPr>
        <w:t>a seguito</w:t>
      </w:r>
      <w:r w:rsidRPr="006275D8">
        <w:rPr>
          <w:color w:val="FF0000"/>
        </w:rPr>
        <w:t xml:space="preserve"> della sentenza della Corte Costituzionale austriaca</w:t>
      </w:r>
      <w:r>
        <w:rPr>
          <w:color w:val="FF0000"/>
        </w:rPr>
        <w:t>; i</w:t>
      </w:r>
      <w:r w:rsidRPr="004048BD">
        <w:rPr>
          <w:color w:val="FF0000"/>
        </w:rPr>
        <w:t xml:space="preserve">n Irlanda </w:t>
      </w:r>
      <w:r>
        <w:rPr>
          <w:color w:val="FF0000"/>
        </w:rPr>
        <w:t xml:space="preserve">il 3 aprile 2015 il Senato ha approvato definitivamente </w:t>
      </w:r>
      <w:r w:rsidRPr="004048BD">
        <w:rPr>
          <w:color w:val="FF0000"/>
        </w:rPr>
        <w:t xml:space="preserve">il </w:t>
      </w:r>
      <w:proofErr w:type="spellStart"/>
      <w:r w:rsidRPr="004048BD">
        <w:rPr>
          <w:color w:val="FF0000"/>
        </w:rPr>
        <w:t>Children</w:t>
      </w:r>
      <w:proofErr w:type="spellEnd"/>
      <w:r w:rsidRPr="004048BD">
        <w:rPr>
          <w:color w:val="FF0000"/>
        </w:rPr>
        <w:t xml:space="preserve"> and Family </w:t>
      </w:r>
      <w:proofErr w:type="spellStart"/>
      <w:r w:rsidRPr="004048BD">
        <w:rPr>
          <w:color w:val="FF0000"/>
        </w:rPr>
        <w:t>Relationship</w:t>
      </w:r>
      <w:proofErr w:type="spellEnd"/>
      <w:r w:rsidRPr="004048BD">
        <w:rPr>
          <w:color w:val="FF0000"/>
        </w:rPr>
        <w:t xml:space="preserve"> Bill, disegno di legge che regolamenta l'adozione da parte d</w:t>
      </w:r>
      <w:r>
        <w:rPr>
          <w:color w:val="FF0000"/>
        </w:rPr>
        <w:t xml:space="preserve">ei genitori dello stesso sesso; il 26 aprile 2015 la Groenlandia ha approvato una nuova legge sul matrimonio tra persone dello stesso sesso, che consentirà l'adozione congiunta da parte della coppia, la nuova disciplina entrerà in vigore il 1 ottobre del 2015.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26" w:rsidRDefault="004B3E26" w:rsidP="00C46E8F">
    <w:pPr>
      <w:tabs>
        <w:tab w:val="left" w:pos="2610"/>
        <w:tab w:val="left" w:pos="3735"/>
      </w:tabs>
      <w:spacing w:after="120"/>
      <w:ind w:left="113"/>
    </w:pPr>
    <w:r w:rsidRPr="009634C1">
      <w:rPr>
        <w:rFonts w:ascii="Arial" w:hAnsi="Arial" w:cs="Arial"/>
        <w:noProof/>
        <w:color w:val="333333"/>
        <w:sz w:val="21"/>
        <w:szCs w:val="21"/>
        <w:lang w:eastAsia="it-IT"/>
      </w:rPr>
      <w:drawing>
        <wp:inline distT="0" distB="0" distL="0" distR="0">
          <wp:extent cx="1400175" cy="381000"/>
          <wp:effectExtent l="19050" t="0" r="9525" b="0"/>
          <wp:docPr id="4" name="Immagine 1" descr="C:\Users\DI GENNARO\AppData\Local\Temp\notesC25B30\logo pd senato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 GENNARO\AppData\Local\Temp\notesC25B30\logo pd senato piccolo.jpg"/>
                  <pic:cNvPicPr>
                    <a:picLocks noChangeAspect="1" noChangeArrowheads="1"/>
                  </pic:cNvPicPr>
                </pic:nvPicPr>
                <pic:blipFill>
                  <a:blip r:embed="rId1"/>
                  <a:srcRect/>
                  <a:stretch>
                    <a:fillRect/>
                  </a:stretch>
                </pic:blipFill>
                <pic:spPr bwMode="auto">
                  <a:xfrm>
                    <a:off x="0" y="0"/>
                    <a:ext cx="1414612" cy="384928"/>
                  </a:xfrm>
                  <a:prstGeom prst="rect">
                    <a:avLst/>
                  </a:prstGeom>
                  <a:noFill/>
                  <a:ln w="9525">
                    <a:noFill/>
                    <a:miter lim="800000"/>
                    <a:headEnd/>
                    <a:tailEnd/>
                  </a:ln>
                </pic:spPr>
              </pic:pic>
            </a:graphicData>
          </a:graphic>
        </wp:inline>
      </w:drawing>
    </w:r>
    <w:r>
      <w:tab/>
    </w:r>
    <w:r>
      <w:tab/>
    </w:r>
  </w:p>
  <w:p w:rsidR="004B3E26" w:rsidRPr="008501BD" w:rsidRDefault="004B3E26" w:rsidP="008501BD">
    <w:pPr>
      <w:tabs>
        <w:tab w:val="left" w:pos="567"/>
      </w:tabs>
      <w:rPr>
        <w:b/>
        <w:i/>
        <w:sz w:val="18"/>
        <w:szCs w:val="18"/>
      </w:rPr>
    </w:pPr>
    <w:r>
      <w:rPr>
        <w:b/>
        <w:sz w:val="16"/>
        <w:szCs w:val="16"/>
      </w:rPr>
      <w:t xml:space="preserve">   </w:t>
    </w:r>
    <w:r>
      <w:rPr>
        <w:b/>
        <w:sz w:val="16"/>
        <w:szCs w:val="16"/>
      </w:rPr>
      <w:tab/>
    </w:r>
    <w:r w:rsidRPr="00551283">
      <w:rPr>
        <w:b/>
        <w:i/>
        <w:sz w:val="18"/>
        <w:szCs w:val="18"/>
      </w:rPr>
      <w:t>Ufficio legislativo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92574"/>
    <w:multiLevelType w:val="multilevel"/>
    <w:tmpl w:val="42D429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23206B9"/>
    <w:multiLevelType w:val="hybridMultilevel"/>
    <w:tmpl w:val="84A2ABAE"/>
    <w:lvl w:ilvl="0" w:tplc="42008212">
      <w:start w:val="1"/>
      <w:numFmt w:val="bullet"/>
      <w:lvlText w:val="-"/>
      <w:lvlJc w:val="left"/>
      <w:pPr>
        <w:ind w:left="1065" w:hanging="360"/>
      </w:pPr>
      <w:rPr>
        <w:rFonts w:ascii="Times New Roman" w:eastAsiaTheme="minorHAns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
    <w:nsid w:val="330D353F"/>
    <w:multiLevelType w:val="hybridMultilevel"/>
    <w:tmpl w:val="E63E5766"/>
    <w:lvl w:ilvl="0" w:tplc="51E65156">
      <w:start w:val="1"/>
      <w:numFmt w:val="decimal"/>
      <w:lvlText w:val="%1."/>
      <w:lvlJc w:val="left"/>
      <w:pPr>
        <w:ind w:left="928" w:hanging="360"/>
      </w:pPr>
      <w:rPr>
        <w:rFonts w:asciiTheme="minorHAnsi" w:eastAsiaTheme="minorHAnsi" w:hAnsiTheme="minorHAnsi" w:cs="Times New Roman"/>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
    <w:nsid w:val="439A3D6C"/>
    <w:multiLevelType w:val="hybridMultilevel"/>
    <w:tmpl w:val="DDE062E4"/>
    <w:lvl w:ilvl="0" w:tplc="DCEE2AA8">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4B1AA5"/>
    <w:multiLevelType w:val="hybridMultilevel"/>
    <w:tmpl w:val="D0A6F0E4"/>
    <w:lvl w:ilvl="0" w:tplc="C1E05484">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5">
    <w:nsid w:val="7805172F"/>
    <w:multiLevelType w:val="hybridMultilevel"/>
    <w:tmpl w:val="DB9A3586"/>
    <w:lvl w:ilvl="0" w:tplc="5522923E">
      <w:start w:val="1"/>
      <w:numFmt w:val="decimal"/>
      <w:lvlText w:val="%1."/>
      <w:lvlJc w:val="left"/>
      <w:pPr>
        <w:ind w:left="1170" w:hanging="465"/>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hyphenationZone w:val="283"/>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rsids>
    <w:rsidRoot w:val="008501BD"/>
    <w:rsid w:val="00000BB2"/>
    <w:rsid w:val="0000204D"/>
    <w:rsid w:val="0001007E"/>
    <w:rsid w:val="00014CBE"/>
    <w:rsid w:val="00014F21"/>
    <w:rsid w:val="00015A40"/>
    <w:rsid w:val="00020625"/>
    <w:rsid w:val="00025F47"/>
    <w:rsid w:val="000262BB"/>
    <w:rsid w:val="00035AD8"/>
    <w:rsid w:val="0003630F"/>
    <w:rsid w:val="000407DC"/>
    <w:rsid w:val="00045BF0"/>
    <w:rsid w:val="000536B3"/>
    <w:rsid w:val="00054CEB"/>
    <w:rsid w:val="00055F44"/>
    <w:rsid w:val="00067A27"/>
    <w:rsid w:val="00071C67"/>
    <w:rsid w:val="00081A60"/>
    <w:rsid w:val="0008586C"/>
    <w:rsid w:val="00087364"/>
    <w:rsid w:val="000B153E"/>
    <w:rsid w:val="000B5C27"/>
    <w:rsid w:val="000C46E3"/>
    <w:rsid w:val="000C7B50"/>
    <w:rsid w:val="000D7335"/>
    <w:rsid w:val="000D7E92"/>
    <w:rsid w:val="000E0611"/>
    <w:rsid w:val="000E3107"/>
    <w:rsid w:val="00100132"/>
    <w:rsid w:val="00100E08"/>
    <w:rsid w:val="00104DF7"/>
    <w:rsid w:val="00107348"/>
    <w:rsid w:val="00113555"/>
    <w:rsid w:val="0011757E"/>
    <w:rsid w:val="00120732"/>
    <w:rsid w:val="00121D20"/>
    <w:rsid w:val="00136AE1"/>
    <w:rsid w:val="00142ACE"/>
    <w:rsid w:val="001508A6"/>
    <w:rsid w:val="00150DA1"/>
    <w:rsid w:val="00153A41"/>
    <w:rsid w:val="00160514"/>
    <w:rsid w:val="00162CC6"/>
    <w:rsid w:val="00162D8F"/>
    <w:rsid w:val="0016668D"/>
    <w:rsid w:val="001752E9"/>
    <w:rsid w:val="001937F0"/>
    <w:rsid w:val="001977C2"/>
    <w:rsid w:val="001A5F74"/>
    <w:rsid w:val="001B0FD6"/>
    <w:rsid w:val="001B1912"/>
    <w:rsid w:val="001B4124"/>
    <w:rsid w:val="001B744D"/>
    <w:rsid w:val="001C1713"/>
    <w:rsid w:val="001C4A97"/>
    <w:rsid w:val="001D15DE"/>
    <w:rsid w:val="001D6FF2"/>
    <w:rsid w:val="001E14D1"/>
    <w:rsid w:val="001E386B"/>
    <w:rsid w:val="001E4209"/>
    <w:rsid w:val="001E73D4"/>
    <w:rsid w:val="001F0CA3"/>
    <w:rsid w:val="001F2702"/>
    <w:rsid w:val="001F2770"/>
    <w:rsid w:val="001F4A14"/>
    <w:rsid w:val="002025F4"/>
    <w:rsid w:val="00204313"/>
    <w:rsid w:val="00206F81"/>
    <w:rsid w:val="0021250F"/>
    <w:rsid w:val="0021402A"/>
    <w:rsid w:val="00217D7D"/>
    <w:rsid w:val="002267C0"/>
    <w:rsid w:val="00230052"/>
    <w:rsid w:val="00230151"/>
    <w:rsid w:val="00231B9C"/>
    <w:rsid w:val="00233F82"/>
    <w:rsid w:val="0023752B"/>
    <w:rsid w:val="0025215A"/>
    <w:rsid w:val="00276D81"/>
    <w:rsid w:val="002C3F9A"/>
    <w:rsid w:val="002D144D"/>
    <w:rsid w:val="002D2A68"/>
    <w:rsid w:val="002F028D"/>
    <w:rsid w:val="002F2D53"/>
    <w:rsid w:val="002F3650"/>
    <w:rsid w:val="003022E8"/>
    <w:rsid w:val="003026E9"/>
    <w:rsid w:val="00314866"/>
    <w:rsid w:val="00317226"/>
    <w:rsid w:val="0032568A"/>
    <w:rsid w:val="00332554"/>
    <w:rsid w:val="00337DD8"/>
    <w:rsid w:val="00340D67"/>
    <w:rsid w:val="00342E4A"/>
    <w:rsid w:val="00346F80"/>
    <w:rsid w:val="00360589"/>
    <w:rsid w:val="003673F9"/>
    <w:rsid w:val="00382091"/>
    <w:rsid w:val="003912B7"/>
    <w:rsid w:val="00393317"/>
    <w:rsid w:val="00397F70"/>
    <w:rsid w:val="003A1DEB"/>
    <w:rsid w:val="003A22C9"/>
    <w:rsid w:val="003A619C"/>
    <w:rsid w:val="003A7EDF"/>
    <w:rsid w:val="003B1E39"/>
    <w:rsid w:val="003C2A0A"/>
    <w:rsid w:val="003D194A"/>
    <w:rsid w:val="003D66CD"/>
    <w:rsid w:val="003E152D"/>
    <w:rsid w:val="003E2E79"/>
    <w:rsid w:val="003F60FB"/>
    <w:rsid w:val="004048BD"/>
    <w:rsid w:val="0040575D"/>
    <w:rsid w:val="0041782A"/>
    <w:rsid w:val="004179F4"/>
    <w:rsid w:val="004538C4"/>
    <w:rsid w:val="004640BC"/>
    <w:rsid w:val="0047164E"/>
    <w:rsid w:val="004777FA"/>
    <w:rsid w:val="00483C9A"/>
    <w:rsid w:val="00486BC2"/>
    <w:rsid w:val="00492BAA"/>
    <w:rsid w:val="00493324"/>
    <w:rsid w:val="00493A19"/>
    <w:rsid w:val="004B3E26"/>
    <w:rsid w:val="004C2BBF"/>
    <w:rsid w:val="004C3BA5"/>
    <w:rsid w:val="004D153A"/>
    <w:rsid w:val="004D2F6B"/>
    <w:rsid w:val="004F2C9E"/>
    <w:rsid w:val="004F7097"/>
    <w:rsid w:val="00505401"/>
    <w:rsid w:val="0052719B"/>
    <w:rsid w:val="0053347B"/>
    <w:rsid w:val="00536631"/>
    <w:rsid w:val="00553132"/>
    <w:rsid w:val="00554B99"/>
    <w:rsid w:val="005575B1"/>
    <w:rsid w:val="00561F91"/>
    <w:rsid w:val="0056371C"/>
    <w:rsid w:val="0056486B"/>
    <w:rsid w:val="00573A0D"/>
    <w:rsid w:val="00590399"/>
    <w:rsid w:val="00590BD8"/>
    <w:rsid w:val="00594C64"/>
    <w:rsid w:val="00595CA5"/>
    <w:rsid w:val="005A0ADB"/>
    <w:rsid w:val="005A1582"/>
    <w:rsid w:val="005B2CEB"/>
    <w:rsid w:val="005B791A"/>
    <w:rsid w:val="005D207A"/>
    <w:rsid w:val="005D46E0"/>
    <w:rsid w:val="005D7B60"/>
    <w:rsid w:val="005F5B21"/>
    <w:rsid w:val="00602643"/>
    <w:rsid w:val="006028E1"/>
    <w:rsid w:val="00610347"/>
    <w:rsid w:val="00617E30"/>
    <w:rsid w:val="0062352A"/>
    <w:rsid w:val="00624D39"/>
    <w:rsid w:val="00625B37"/>
    <w:rsid w:val="006275D8"/>
    <w:rsid w:val="00643F0F"/>
    <w:rsid w:val="00655CD4"/>
    <w:rsid w:val="00664F6E"/>
    <w:rsid w:val="006A2639"/>
    <w:rsid w:val="006B10CE"/>
    <w:rsid w:val="006B14B3"/>
    <w:rsid w:val="006B3FD3"/>
    <w:rsid w:val="006C72A6"/>
    <w:rsid w:val="006D0CE4"/>
    <w:rsid w:val="006D26BD"/>
    <w:rsid w:val="006E4ECF"/>
    <w:rsid w:val="006F3706"/>
    <w:rsid w:val="006F5979"/>
    <w:rsid w:val="0072489B"/>
    <w:rsid w:val="00727AE8"/>
    <w:rsid w:val="007322ED"/>
    <w:rsid w:val="00747835"/>
    <w:rsid w:val="007506C6"/>
    <w:rsid w:val="00754992"/>
    <w:rsid w:val="007559F5"/>
    <w:rsid w:val="00764D91"/>
    <w:rsid w:val="00766BB1"/>
    <w:rsid w:val="00767F73"/>
    <w:rsid w:val="00772136"/>
    <w:rsid w:val="00774462"/>
    <w:rsid w:val="00775EFB"/>
    <w:rsid w:val="00776B1D"/>
    <w:rsid w:val="007A36A4"/>
    <w:rsid w:val="007B31C3"/>
    <w:rsid w:val="007C1DAA"/>
    <w:rsid w:val="007C496E"/>
    <w:rsid w:val="007C7D99"/>
    <w:rsid w:val="007D1506"/>
    <w:rsid w:val="007D26FC"/>
    <w:rsid w:val="007D505E"/>
    <w:rsid w:val="007D7A29"/>
    <w:rsid w:val="007E7966"/>
    <w:rsid w:val="007F3993"/>
    <w:rsid w:val="007F7E04"/>
    <w:rsid w:val="00801759"/>
    <w:rsid w:val="008053F6"/>
    <w:rsid w:val="00816AC0"/>
    <w:rsid w:val="0081791F"/>
    <w:rsid w:val="00820AB2"/>
    <w:rsid w:val="00822242"/>
    <w:rsid w:val="0083036F"/>
    <w:rsid w:val="0083147A"/>
    <w:rsid w:val="00834EA2"/>
    <w:rsid w:val="008354A1"/>
    <w:rsid w:val="0083674A"/>
    <w:rsid w:val="00847ECD"/>
    <w:rsid w:val="0085017C"/>
    <w:rsid w:val="008501BD"/>
    <w:rsid w:val="008557C1"/>
    <w:rsid w:val="008632E1"/>
    <w:rsid w:val="008640BF"/>
    <w:rsid w:val="008706D5"/>
    <w:rsid w:val="0087111C"/>
    <w:rsid w:val="008971B6"/>
    <w:rsid w:val="00897EF2"/>
    <w:rsid w:val="008A2797"/>
    <w:rsid w:val="008D2D4E"/>
    <w:rsid w:val="008D58B4"/>
    <w:rsid w:val="008E2F0D"/>
    <w:rsid w:val="00903680"/>
    <w:rsid w:val="00906F7C"/>
    <w:rsid w:val="00923298"/>
    <w:rsid w:val="009233E9"/>
    <w:rsid w:val="0093236E"/>
    <w:rsid w:val="00935A02"/>
    <w:rsid w:val="00945CF4"/>
    <w:rsid w:val="009516C9"/>
    <w:rsid w:val="00951DCE"/>
    <w:rsid w:val="0095503B"/>
    <w:rsid w:val="00956A7F"/>
    <w:rsid w:val="009605C2"/>
    <w:rsid w:val="009612C3"/>
    <w:rsid w:val="00967D40"/>
    <w:rsid w:val="00981AE6"/>
    <w:rsid w:val="00986A5D"/>
    <w:rsid w:val="009A0202"/>
    <w:rsid w:val="009A6AE5"/>
    <w:rsid w:val="009B0FBE"/>
    <w:rsid w:val="009C0555"/>
    <w:rsid w:val="009E2AEF"/>
    <w:rsid w:val="00A135EC"/>
    <w:rsid w:val="00A148CA"/>
    <w:rsid w:val="00A22568"/>
    <w:rsid w:val="00A3100B"/>
    <w:rsid w:val="00A3388F"/>
    <w:rsid w:val="00A419B9"/>
    <w:rsid w:val="00A42E16"/>
    <w:rsid w:val="00A66ED8"/>
    <w:rsid w:val="00A70657"/>
    <w:rsid w:val="00A96827"/>
    <w:rsid w:val="00AA4E65"/>
    <w:rsid w:val="00AB1F22"/>
    <w:rsid w:val="00AB61BD"/>
    <w:rsid w:val="00AB64C0"/>
    <w:rsid w:val="00AE1980"/>
    <w:rsid w:val="00AE1FCD"/>
    <w:rsid w:val="00AE2B67"/>
    <w:rsid w:val="00AE3E8E"/>
    <w:rsid w:val="00AF5FDE"/>
    <w:rsid w:val="00B05E1B"/>
    <w:rsid w:val="00B0636B"/>
    <w:rsid w:val="00B1366C"/>
    <w:rsid w:val="00B26BF0"/>
    <w:rsid w:val="00B304BA"/>
    <w:rsid w:val="00B308B1"/>
    <w:rsid w:val="00B40973"/>
    <w:rsid w:val="00B6119E"/>
    <w:rsid w:val="00B72BB1"/>
    <w:rsid w:val="00B823D5"/>
    <w:rsid w:val="00B906F2"/>
    <w:rsid w:val="00B90E2E"/>
    <w:rsid w:val="00B93086"/>
    <w:rsid w:val="00BA6484"/>
    <w:rsid w:val="00BB0933"/>
    <w:rsid w:val="00BC5604"/>
    <w:rsid w:val="00BD44C6"/>
    <w:rsid w:val="00BE1027"/>
    <w:rsid w:val="00BE1987"/>
    <w:rsid w:val="00BF1C61"/>
    <w:rsid w:val="00BF38D8"/>
    <w:rsid w:val="00C00B89"/>
    <w:rsid w:val="00C20947"/>
    <w:rsid w:val="00C31C50"/>
    <w:rsid w:val="00C46E8F"/>
    <w:rsid w:val="00C53811"/>
    <w:rsid w:val="00C63917"/>
    <w:rsid w:val="00C66AB2"/>
    <w:rsid w:val="00C804B1"/>
    <w:rsid w:val="00C87D16"/>
    <w:rsid w:val="00C94AD4"/>
    <w:rsid w:val="00CA1E2E"/>
    <w:rsid w:val="00CA3194"/>
    <w:rsid w:val="00CA41F4"/>
    <w:rsid w:val="00CB4662"/>
    <w:rsid w:val="00CB68A4"/>
    <w:rsid w:val="00CC5F77"/>
    <w:rsid w:val="00CD3B85"/>
    <w:rsid w:val="00CE68BA"/>
    <w:rsid w:val="00CF0F77"/>
    <w:rsid w:val="00CF666D"/>
    <w:rsid w:val="00D06FC2"/>
    <w:rsid w:val="00D2616E"/>
    <w:rsid w:val="00D348A5"/>
    <w:rsid w:val="00D348E1"/>
    <w:rsid w:val="00D422DA"/>
    <w:rsid w:val="00D432FC"/>
    <w:rsid w:val="00D56B1D"/>
    <w:rsid w:val="00D63A64"/>
    <w:rsid w:val="00D65D41"/>
    <w:rsid w:val="00D72918"/>
    <w:rsid w:val="00D73268"/>
    <w:rsid w:val="00D75551"/>
    <w:rsid w:val="00D9381F"/>
    <w:rsid w:val="00DA040A"/>
    <w:rsid w:val="00DA0D79"/>
    <w:rsid w:val="00DA3300"/>
    <w:rsid w:val="00DA3730"/>
    <w:rsid w:val="00DA7202"/>
    <w:rsid w:val="00DB5006"/>
    <w:rsid w:val="00DC3012"/>
    <w:rsid w:val="00DD7C3E"/>
    <w:rsid w:val="00DE3147"/>
    <w:rsid w:val="00DF1C18"/>
    <w:rsid w:val="00DF255A"/>
    <w:rsid w:val="00E03C03"/>
    <w:rsid w:val="00E03D42"/>
    <w:rsid w:val="00E1479F"/>
    <w:rsid w:val="00E23E4B"/>
    <w:rsid w:val="00E31A1C"/>
    <w:rsid w:val="00E40076"/>
    <w:rsid w:val="00E443CD"/>
    <w:rsid w:val="00E55A0F"/>
    <w:rsid w:val="00E66A9D"/>
    <w:rsid w:val="00E71B31"/>
    <w:rsid w:val="00E73C86"/>
    <w:rsid w:val="00E80460"/>
    <w:rsid w:val="00E81571"/>
    <w:rsid w:val="00E81C95"/>
    <w:rsid w:val="00E918BE"/>
    <w:rsid w:val="00E95B77"/>
    <w:rsid w:val="00E97B4F"/>
    <w:rsid w:val="00E97EFD"/>
    <w:rsid w:val="00EA1515"/>
    <w:rsid w:val="00EA49A8"/>
    <w:rsid w:val="00ED3781"/>
    <w:rsid w:val="00ED5D3E"/>
    <w:rsid w:val="00EF7BF5"/>
    <w:rsid w:val="00F1263D"/>
    <w:rsid w:val="00F129C0"/>
    <w:rsid w:val="00F1670D"/>
    <w:rsid w:val="00F21D41"/>
    <w:rsid w:val="00F2201B"/>
    <w:rsid w:val="00F250AC"/>
    <w:rsid w:val="00F36B2F"/>
    <w:rsid w:val="00F440B5"/>
    <w:rsid w:val="00F47556"/>
    <w:rsid w:val="00F53EF5"/>
    <w:rsid w:val="00F5403D"/>
    <w:rsid w:val="00F622E6"/>
    <w:rsid w:val="00F87485"/>
    <w:rsid w:val="00F87D48"/>
    <w:rsid w:val="00F95D68"/>
    <w:rsid w:val="00FB1E03"/>
    <w:rsid w:val="00FC7CDE"/>
    <w:rsid w:val="00FF66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t-IT"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6FF2"/>
  </w:style>
  <w:style w:type="paragraph" w:styleId="Titolo2">
    <w:name w:val="heading 2"/>
    <w:basedOn w:val="Normale"/>
    <w:next w:val="Normale"/>
    <w:link w:val="Titolo2Carattere"/>
    <w:uiPriority w:val="9"/>
    <w:unhideWhenUsed/>
    <w:qFormat/>
    <w:rsid w:val="00727AE8"/>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501BD"/>
    <w:pPr>
      <w:tabs>
        <w:tab w:val="center" w:pos="4819"/>
        <w:tab w:val="right" w:pos="9638"/>
      </w:tabs>
      <w:spacing w:after="0"/>
    </w:pPr>
  </w:style>
  <w:style w:type="character" w:customStyle="1" w:styleId="IntestazioneCarattere">
    <w:name w:val="Intestazione Carattere"/>
    <w:basedOn w:val="Carpredefinitoparagrafo"/>
    <w:link w:val="Intestazione"/>
    <w:uiPriority w:val="99"/>
    <w:semiHidden/>
    <w:rsid w:val="008501BD"/>
  </w:style>
  <w:style w:type="paragraph" w:styleId="Pidipagina">
    <w:name w:val="footer"/>
    <w:basedOn w:val="Normale"/>
    <w:link w:val="PidipaginaCarattere"/>
    <w:uiPriority w:val="99"/>
    <w:unhideWhenUsed/>
    <w:rsid w:val="008501B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501BD"/>
  </w:style>
  <w:style w:type="paragraph" w:styleId="Testofumetto">
    <w:name w:val="Balloon Text"/>
    <w:basedOn w:val="Normale"/>
    <w:link w:val="TestofumettoCarattere"/>
    <w:uiPriority w:val="99"/>
    <w:semiHidden/>
    <w:unhideWhenUsed/>
    <w:rsid w:val="008501BD"/>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01BD"/>
    <w:rPr>
      <w:rFonts w:ascii="Tahoma" w:hAnsi="Tahoma" w:cs="Tahoma"/>
      <w:sz w:val="16"/>
      <w:szCs w:val="16"/>
    </w:rPr>
  </w:style>
  <w:style w:type="paragraph" w:customStyle="1" w:styleId="testocenter1">
    <w:name w:val="testocenter1"/>
    <w:basedOn w:val="Normale"/>
    <w:rsid w:val="00C46E8F"/>
    <w:pPr>
      <w:spacing w:after="0"/>
      <w:ind w:left="30"/>
      <w:jc w:val="center"/>
    </w:pPr>
    <w:rPr>
      <w:rFonts w:ascii="Verdana" w:eastAsia="Times New Roman" w:hAnsi="Verdana"/>
      <w:szCs w:val="24"/>
      <w:lang w:eastAsia="it-IT"/>
    </w:rPr>
  </w:style>
  <w:style w:type="paragraph" w:styleId="Paragrafoelenco">
    <w:name w:val="List Paragraph"/>
    <w:basedOn w:val="Normale"/>
    <w:uiPriority w:val="34"/>
    <w:qFormat/>
    <w:rsid w:val="00AF5FDE"/>
    <w:pPr>
      <w:ind w:left="720"/>
      <w:contextualSpacing/>
    </w:pPr>
  </w:style>
  <w:style w:type="paragraph" w:styleId="Testonotaapidipagina">
    <w:name w:val="footnote text"/>
    <w:basedOn w:val="Normale"/>
    <w:link w:val="TestonotaapidipaginaCarattere"/>
    <w:uiPriority w:val="99"/>
    <w:semiHidden/>
    <w:unhideWhenUsed/>
    <w:rsid w:val="00ED3781"/>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D3781"/>
    <w:rPr>
      <w:sz w:val="20"/>
      <w:szCs w:val="20"/>
    </w:rPr>
  </w:style>
  <w:style w:type="character" w:styleId="Rimandonotaapidipagina">
    <w:name w:val="footnote reference"/>
    <w:basedOn w:val="Carpredefinitoparagrafo"/>
    <w:uiPriority w:val="99"/>
    <w:semiHidden/>
    <w:unhideWhenUsed/>
    <w:rsid w:val="00ED3781"/>
    <w:rPr>
      <w:vertAlign w:val="superscript"/>
    </w:rPr>
  </w:style>
  <w:style w:type="character" w:styleId="Collegamentoipertestuale">
    <w:name w:val="Hyperlink"/>
    <w:basedOn w:val="Carpredefinitoparagrafo"/>
    <w:uiPriority w:val="99"/>
    <w:unhideWhenUsed/>
    <w:rsid w:val="006D0CE4"/>
    <w:rPr>
      <w:strike w:val="0"/>
      <w:dstrike w:val="0"/>
      <w:color w:val="0000FF"/>
      <w:u w:val="none"/>
      <w:effect w:val="none"/>
      <w:shd w:val="clear" w:color="auto" w:fill="auto"/>
    </w:rPr>
  </w:style>
  <w:style w:type="paragraph" w:styleId="Testonotadichiusura">
    <w:name w:val="endnote text"/>
    <w:basedOn w:val="Normale"/>
    <w:link w:val="TestonotadichiusuraCarattere"/>
    <w:uiPriority w:val="99"/>
    <w:semiHidden/>
    <w:unhideWhenUsed/>
    <w:rsid w:val="006275D8"/>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6275D8"/>
    <w:rPr>
      <w:sz w:val="20"/>
      <w:szCs w:val="20"/>
    </w:rPr>
  </w:style>
  <w:style w:type="character" w:styleId="Rimandonotadichiusura">
    <w:name w:val="endnote reference"/>
    <w:basedOn w:val="Carpredefinitoparagrafo"/>
    <w:uiPriority w:val="99"/>
    <w:semiHidden/>
    <w:unhideWhenUsed/>
    <w:rsid w:val="006275D8"/>
    <w:rPr>
      <w:vertAlign w:val="superscript"/>
    </w:rPr>
  </w:style>
  <w:style w:type="character" w:styleId="Enfasigrassetto">
    <w:name w:val="Strong"/>
    <w:basedOn w:val="Carpredefinitoparagrafo"/>
    <w:uiPriority w:val="22"/>
    <w:qFormat/>
    <w:rsid w:val="00121D20"/>
    <w:rPr>
      <w:b/>
      <w:bCs/>
    </w:rPr>
  </w:style>
  <w:style w:type="paragraph" w:styleId="NormaleWeb">
    <w:name w:val="Normal (Web)"/>
    <w:basedOn w:val="Normale"/>
    <w:uiPriority w:val="99"/>
    <w:semiHidden/>
    <w:unhideWhenUsed/>
    <w:rsid w:val="002D144D"/>
    <w:pPr>
      <w:spacing w:before="100" w:beforeAutospacing="1" w:after="100" w:afterAutospacing="1"/>
      <w:jc w:val="left"/>
    </w:pPr>
    <w:rPr>
      <w:rFonts w:eastAsia="Times New Roman"/>
      <w:szCs w:val="24"/>
      <w:lang w:eastAsia="it-IT"/>
    </w:rPr>
  </w:style>
  <w:style w:type="character" w:customStyle="1" w:styleId="Titolo2Carattere">
    <w:name w:val="Titolo 2 Carattere"/>
    <w:basedOn w:val="Carpredefinitoparagrafo"/>
    <w:link w:val="Titolo2"/>
    <w:uiPriority w:val="9"/>
    <w:rsid w:val="00727AE8"/>
    <w:rPr>
      <w:rFonts w:asciiTheme="majorHAnsi" w:eastAsiaTheme="majorEastAsia" w:hAnsiTheme="majorHAnsi" w:cstheme="majorBidi"/>
      <w:b/>
      <w:bCs/>
      <w:color w:val="4F81BD" w:themeColor="accent1"/>
      <w:sz w:val="26"/>
      <w:szCs w:val="26"/>
    </w:rPr>
  </w:style>
  <w:style w:type="table" w:styleId="Grigliatabella">
    <w:name w:val="Table Grid"/>
    <w:basedOn w:val="Tabellanormale"/>
    <w:uiPriority w:val="59"/>
    <w:rsid w:val="00727AE8"/>
    <w:pPr>
      <w:spacing w:after="0"/>
      <w:jc w:val="left"/>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ntnormal1">
    <w:name w:val="sent_normal1"/>
    <w:basedOn w:val="Normale"/>
    <w:rsid w:val="00602643"/>
    <w:pPr>
      <w:spacing w:before="100" w:beforeAutospacing="1" w:after="45"/>
    </w:pPr>
    <w:rPr>
      <w:rFonts w:eastAsia="Times New Roman"/>
      <w:szCs w:val="24"/>
      <w:lang w:eastAsia="it-IT"/>
    </w:rPr>
  </w:style>
  <w:style w:type="character" w:styleId="Collegamentovisitato">
    <w:name w:val="FollowedHyperlink"/>
    <w:basedOn w:val="Carpredefinitoparagrafo"/>
    <w:uiPriority w:val="99"/>
    <w:semiHidden/>
    <w:unhideWhenUsed/>
    <w:rsid w:val="00B40973"/>
    <w:rPr>
      <w:color w:val="800080" w:themeColor="followedHyperlink"/>
      <w:u w:val="single"/>
    </w:rPr>
  </w:style>
  <w:style w:type="character" w:customStyle="1" w:styleId="s7d2086b4">
    <w:name w:val="s7d2086b4"/>
    <w:basedOn w:val="Carpredefinitoparagrafo"/>
    <w:rsid w:val="003E2E79"/>
  </w:style>
  <w:style w:type="character" w:styleId="Enfasicorsivo">
    <w:name w:val="Emphasis"/>
    <w:basedOn w:val="Carpredefinitoparagrafo"/>
    <w:uiPriority w:val="20"/>
    <w:qFormat/>
    <w:rsid w:val="00625B37"/>
    <w:rPr>
      <w:i/>
      <w:iCs/>
    </w:rPr>
  </w:style>
  <w:style w:type="paragraph" w:customStyle="1" w:styleId="s24">
    <w:name w:val="s24"/>
    <w:basedOn w:val="Normale"/>
    <w:rsid w:val="005A1582"/>
    <w:pPr>
      <w:spacing w:before="100" w:beforeAutospacing="1" w:after="100" w:afterAutospacing="1"/>
      <w:jc w:val="left"/>
    </w:pPr>
    <w:rPr>
      <w:rFonts w:eastAsia="Times New Roman"/>
      <w:szCs w:val="24"/>
      <w:lang w:eastAsia="it-IT"/>
    </w:rPr>
  </w:style>
  <w:style w:type="character" w:customStyle="1" w:styleId="s15">
    <w:name w:val="s15"/>
    <w:basedOn w:val="Carpredefinitoparagrafo"/>
    <w:rsid w:val="005A1582"/>
  </w:style>
  <w:style w:type="character" w:customStyle="1" w:styleId="s34">
    <w:name w:val="s34"/>
    <w:basedOn w:val="Carpredefinitoparagrafo"/>
    <w:rsid w:val="0053347B"/>
  </w:style>
</w:styles>
</file>

<file path=word/webSettings.xml><?xml version="1.0" encoding="utf-8"?>
<w:webSettings xmlns:r="http://schemas.openxmlformats.org/officeDocument/2006/relationships" xmlns:w="http://schemas.openxmlformats.org/wordprocessingml/2006/main">
  <w:divs>
    <w:div w:id="553202808">
      <w:bodyDiv w:val="1"/>
      <w:marLeft w:val="0"/>
      <w:marRight w:val="0"/>
      <w:marTop w:val="0"/>
      <w:marBottom w:val="0"/>
      <w:divBdr>
        <w:top w:val="none" w:sz="0" w:space="0" w:color="auto"/>
        <w:left w:val="none" w:sz="0" w:space="0" w:color="auto"/>
        <w:bottom w:val="none" w:sz="0" w:space="0" w:color="auto"/>
        <w:right w:val="none" w:sz="0" w:space="0" w:color="auto"/>
      </w:divBdr>
      <w:divsChild>
        <w:div w:id="2078242608">
          <w:marLeft w:val="0"/>
          <w:marRight w:val="0"/>
          <w:marTop w:val="0"/>
          <w:marBottom w:val="0"/>
          <w:divBdr>
            <w:top w:val="none" w:sz="0" w:space="0" w:color="auto"/>
            <w:left w:val="none" w:sz="0" w:space="0" w:color="auto"/>
            <w:bottom w:val="none" w:sz="0" w:space="0" w:color="auto"/>
            <w:right w:val="none" w:sz="0" w:space="0" w:color="auto"/>
          </w:divBdr>
          <w:divsChild>
            <w:div w:id="397635868">
              <w:marLeft w:val="0"/>
              <w:marRight w:val="0"/>
              <w:marTop w:val="0"/>
              <w:marBottom w:val="0"/>
              <w:divBdr>
                <w:top w:val="none" w:sz="0" w:space="0" w:color="auto"/>
                <w:left w:val="none" w:sz="0" w:space="0" w:color="auto"/>
                <w:bottom w:val="none" w:sz="0" w:space="0" w:color="auto"/>
                <w:right w:val="none" w:sz="0" w:space="0" w:color="auto"/>
              </w:divBdr>
              <w:divsChild>
                <w:div w:id="1920408265">
                  <w:marLeft w:val="1616"/>
                  <w:marRight w:val="1469"/>
                  <w:marTop w:val="0"/>
                  <w:marBottom w:val="0"/>
                  <w:divBdr>
                    <w:top w:val="none" w:sz="0" w:space="0" w:color="auto"/>
                    <w:left w:val="none" w:sz="0" w:space="0" w:color="auto"/>
                    <w:bottom w:val="none" w:sz="0" w:space="0" w:color="auto"/>
                    <w:right w:val="none" w:sz="0" w:space="0" w:color="auto"/>
                  </w:divBdr>
                  <w:divsChild>
                    <w:div w:id="1492018997">
                      <w:marLeft w:val="0"/>
                      <w:marRight w:val="0"/>
                      <w:marTop w:val="0"/>
                      <w:marBottom w:val="0"/>
                      <w:divBdr>
                        <w:top w:val="none" w:sz="0" w:space="0" w:color="auto"/>
                        <w:left w:val="none" w:sz="0" w:space="0" w:color="auto"/>
                        <w:bottom w:val="none" w:sz="0" w:space="0" w:color="auto"/>
                        <w:right w:val="none" w:sz="0" w:space="0" w:color="auto"/>
                      </w:divBdr>
                      <w:divsChild>
                        <w:div w:id="105471845">
                          <w:marLeft w:val="0"/>
                          <w:marRight w:val="0"/>
                          <w:marTop w:val="0"/>
                          <w:marBottom w:val="0"/>
                          <w:divBdr>
                            <w:top w:val="none" w:sz="0" w:space="0" w:color="auto"/>
                            <w:left w:val="none" w:sz="0" w:space="0" w:color="auto"/>
                            <w:bottom w:val="none" w:sz="0" w:space="0" w:color="auto"/>
                            <w:right w:val="none" w:sz="0" w:space="0" w:color="auto"/>
                          </w:divBdr>
                          <w:divsChild>
                            <w:div w:id="13252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1950">
      <w:bodyDiv w:val="1"/>
      <w:marLeft w:val="0"/>
      <w:marRight w:val="0"/>
      <w:marTop w:val="0"/>
      <w:marBottom w:val="0"/>
      <w:divBdr>
        <w:top w:val="none" w:sz="0" w:space="0" w:color="auto"/>
        <w:left w:val="none" w:sz="0" w:space="0" w:color="auto"/>
        <w:bottom w:val="none" w:sz="0" w:space="0" w:color="auto"/>
        <w:right w:val="none" w:sz="0" w:space="0" w:color="auto"/>
      </w:divBdr>
      <w:divsChild>
        <w:div w:id="765272535">
          <w:marLeft w:val="0"/>
          <w:marRight w:val="0"/>
          <w:marTop w:val="0"/>
          <w:marBottom w:val="0"/>
          <w:divBdr>
            <w:top w:val="none" w:sz="0" w:space="0" w:color="auto"/>
            <w:left w:val="none" w:sz="0" w:space="0" w:color="auto"/>
            <w:bottom w:val="none" w:sz="0" w:space="0" w:color="auto"/>
            <w:right w:val="none" w:sz="0" w:space="0" w:color="auto"/>
          </w:divBdr>
          <w:divsChild>
            <w:div w:id="1060438958">
              <w:marLeft w:val="0"/>
              <w:marRight w:val="0"/>
              <w:marTop w:val="0"/>
              <w:marBottom w:val="0"/>
              <w:divBdr>
                <w:top w:val="none" w:sz="0" w:space="0" w:color="auto"/>
                <w:left w:val="none" w:sz="0" w:space="0" w:color="auto"/>
                <w:bottom w:val="none" w:sz="0" w:space="0" w:color="auto"/>
                <w:right w:val="none" w:sz="0" w:space="0" w:color="auto"/>
              </w:divBdr>
              <w:divsChild>
                <w:div w:id="178934651">
                  <w:marLeft w:val="3300"/>
                  <w:marRight w:val="3000"/>
                  <w:marTop w:val="0"/>
                  <w:marBottom w:val="0"/>
                  <w:divBdr>
                    <w:top w:val="none" w:sz="0" w:space="0" w:color="auto"/>
                    <w:left w:val="none" w:sz="0" w:space="0" w:color="auto"/>
                    <w:bottom w:val="none" w:sz="0" w:space="0" w:color="auto"/>
                    <w:right w:val="none" w:sz="0" w:space="0" w:color="auto"/>
                  </w:divBdr>
                  <w:divsChild>
                    <w:div w:id="22559668">
                      <w:marLeft w:val="0"/>
                      <w:marRight w:val="0"/>
                      <w:marTop w:val="0"/>
                      <w:marBottom w:val="0"/>
                      <w:divBdr>
                        <w:top w:val="none" w:sz="0" w:space="0" w:color="auto"/>
                        <w:left w:val="none" w:sz="0" w:space="0" w:color="auto"/>
                        <w:bottom w:val="none" w:sz="0" w:space="0" w:color="auto"/>
                        <w:right w:val="none" w:sz="0" w:space="0" w:color="auto"/>
                      </w:divBdr>
                      <w:divsChild>
                        <w:div w:id="626812301">
                          <w:marLeft w:val="0"/>
                          <w:marRight w:val="0"/>
                          <w:marTop w:val="0"/>
                          <w:marBottom w:val="0"/>
                          <w:divBdr>
                            <w:top w:val="none" w:sz="0" w:space="0" w:color="auto"/>
                            <w:left w:val="none" w:sz="0" w:space="0" w:color="auto"/>
                            <w:bottom w:val="none" w:sz="0" w:space="0" w:color="auto"/>
                            <w:right w:val="none" w:sz="0" w:space="0" w:color="auto"/>
                          </w:divBdr>
                          <w:divsChild>
                            <w:div w:id="64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6829">
      <w:bodyDiv w:val="1"/>
      <w:marLeft w:val="0"/>
      <w:marRight w:val="0"/>
      <w:marTop w:val="150"/>
      <w:marBottom w:val="0"/>
      <w:divBdr>
        <w:top w:val="none" w:sz="0" w:space="0" w:color="auto"/>
        <w:left w:val="none" w:sz="0" w:space="0" w:color="auto"/>
        <w:bottom w:val="none" w:sz="0" w:space="0" w:color="auto"/>
        <w:right w:val="none" w:sz="0" w:space="0" w:color="auto"/>
      </w:divBdr>
      <w:divsChild>
        <w:div w:id="1744452263">
          <w:marLeft w:val="0"/>
          <w:marRight w:val="0"/>
          <w:marTop w:val="0"/>
          <w:marBottom w:val="0"/>
          <w:divBdr>
            <w:top w:val="none" w:sz="0" w:space="0" w:color="auto"/>
            <w:left w:val="none" w:sz="0" w:space="0" w:color="auto"/>
            <w:bottom w:val="none" w:sz="0" w:space="0" w:color="auto"/>
            <w:right w:val="none" w:sz="0" w:space="0" w:color="auto"/>
          </w:divBdr>
          <w:divsChild>
            <w:div w:id="9308330">
              <w:marLeft w:val="0"/>
              <w:marRight w:val="0"/>
              <w:marTop w:val="0"/>
              <w:marBottom w:val="0"/>
              <w:divBdr>
                <w:top w:val="none" w:sz="0" w:space="0" w:color="auto"/>
                <w:left w:val="none" w:sz="0" w:space="0" w:color="auto"/>
                <w:bottom w:val="none" w:sz="0" w:space="0" w:color="auto"/>
                <w:right w:val="none" w:sz="0" w:space="0" w:color="auto"/>
              </w:divBdr>
              <w:divsChild>
                <w:div w:id="1820997743">
                  <w:marLeft w:val="0"/>
                  <w:marRight w:val="0"/>
                  <w:marTop w:val="0"/>
                  <w:marBottom w:val="0"/>
                  <w:divBdr>
                    <w:top w:val="none" w:sz="0" w:space="0" w:color="auto"/>
                    <w:left w:val="none" w:sz="0" w:space="0" w:color="auto"/>
                    <w:bottom w:val="none" w:sz="0" w:space="0" w:color="auto"/>
                    <w:right w:val="none" w:sz="0" w:space="0" w:color="auto"/>
                  </w:divBdr>
                  <w:divsChild>
                    <w:div w:id="1655716681">
                      <w:marLeft w:val="0"/>
                      <w:marRight w:val="0"/>
                      <w:marTop w:val="0"/>
                      <w:marBottom w:val="0"/>
                      <w:divBdr>
                        <w:top w:val="none" w:sz="0" w:space="0" w:color="auto"/>
                        <w:left w:val="none" w:sz="0" w:space="0" w:color="auto"/>
                        <w:bottom w:val="none" w:sz="0" w:space="0" w:color="auto"/>
                        <w:right w:val="none" w:sz="0" w:space="0" w:color="auto"/>
                      </w:divBdr>
                      <w:divsChild>
                        <w:div w:id="961502200">
                          <w:marLeft w:val="375"/>
                          <w:marRight w:val="0"/>
                          <w:marTop w:val="0"/>
                          <w:marBottom w:val="0"/>
                          <w:divBdr>
                            <w:top w:val="none" w:sz="0" w:space="0" w:color="auto"/>
                            <w:left w:val="none" w:sz="0" w:space="0" w:color="auto"/>
                            <w:bottom w:val="none" w:sz="0" w:space="0" w:color="auto"/>
                            <w:right w:val="none" w:sz="0" w:space="0" w:color="auto"/>
                          </w:divBdr>
                          <w:divsChild>
                            <w:div w:id="1190100752">
                              <w:marLeft w:val="0"/>
                              <w:marRight w:val="0"/>
                              <w:marTop w:val="0"/>
                              <w:marBottom w:val="300"/>
                              <w:divBdr>
                                <w:top w:val="none" w:sz="0" w:space="0" w:color="auto"/>
                                <w:left w:val="single" w:sz="6" w:space="0" w:color="EDEDED"/>
                                <w:bottom w:val="single" w:sz="6" w:space="26" w:color="EDEDED"/>
                                <w:right w:val="single" w:sz="6" w:space="0" w:color="EDEDED"/>
                              </w:divBdr>
                              <w:divsChild>
                                <w:div w:id="10481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738804">
      <w:bodyDiv w:val="1"/>
      <w:marLeft w:val="0"/>
      <w:marRight w:val="0"/>
      <w:marTop w:val="0"/>
      <w:marBottom w:val="0"/>
      <w:divBdr>
        <w:top w:val="none" w:sz="0" w:space="0" w:color="auto"/>
        <w:left w:val="none" w:sz="0" w:space="0" w:color="auto"/>
        <w:bottom w:val="none" w:sz="0" w:space="0" w:color="auto"/>
        <w:right w:val="none" w:sz="0" w:space="0" w:color="auto"/>
      </w:divBdr>
      <w:divsChild>
        <w:div w:id="645546731">
          <w:marLeft w:val="0"/>
          <w:marRight w:val="0"/>
          <w:marTop w:val="0"/>
          <w:marBottom w:val="0"/>
          <w:divBdr>
            <w:top w:val="none" w:sz="0" w:space="0" w:color="auto"/>
            <w:left w:val="none" w:sz="0" w:space="0" w:color="auto"/>
            <w:bottom w:val="none" w:sz="0" w:space="0" w:color="auto"/>
            <w:right w:val="none" w:sz="0" w:space="0" w:color="auto"/>
          </w:divBdr>
          <w:divsChild>
            <w:div w:id="1334065580">
              <w:marLeft w:val="0"/>
              <w:marRight w:val="0"/>
              <w:marTop w:val="0"/>
              <w:marBottom w:val="0"/>
              <w:divBdr>
                <w:top w:val="none" w:sz="0" w:space="0" w:color="auto"/>
                <w:left w:val="none" w:sz="0" w:space="0" w:color="auto"/>
                <w:bottom w:val="none" w:sz="0" w:space="0" w:color="auto"/>
                <w:right w:val="none" w:sz="0" w:space="0" w:color="auto"/>
              </w:divBdr>
              <w:divsChild>
                <w:div w:id="915822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90596392">
      <w:bodyDiv w:val="1"/>
      <w:marLeft w:val="0"/>
      <w:marRight w:val="0"/>
      <w:marTop w:val="0"/>
      <w:marBottom w:val="0"/>
      <w:divBdr>
        <w:top w:val="none" w:sz="0" w:space="0" w:color="auto"/>
        <w:left w:val="none" w:sz="0" w:space="0" w:color="auto"/>
        <w:bottom w:val="none" w:sz="0" w:space="0" w:color="auto"/>
        <w:right w:val="none" w:sz="0" w:space="0" w:color="auto"/>
      </w:divBdr>
      <w:divsChild>
        <w:div w:id="30497337">
          <w:marLeft w:val="0"/>
          <w:marRight w:val="0"/>
          <w:marTop w:val="0"/>
          <w:marBottom w:val="0"/>
          <w:divBdr>
            <w:top w:val="none" w:sz="0" w:space="0" w:color="auto"/>
            <w:left w:val="none" w:sz="0" w:space="0" w:color="auto"/>
            <w:bottom w:val="none" w:sz="0" w:space="0" w:color="auto"/>
            <w:right w:val="none" w:sz="0" w:space="0" w:color="auto"/>
          </w:divBdr>
        </w:div>
      </w:divsChild>
    </w:div>
    <w:div w:id="2005670470">
      <w:bodyDiv w:val="1"/>
      <w:marLeft w:val="0"/>
      <w:marRight w:val="0"/>
      <w:marTop w:val="150"/>
      <w:marBottom w:val="0"/>
      <w:divBdr>
        <w:top w:val="none" w:sz="0" w:space="0" w:color="auto"/>
        <w:left w:val="none" w:sz="0" w:space="0" w:color="auto"/>
        <w:bottom w:val="none" w:sz="0" w:space="0" w:color="auto"/>
        <w:right w:val="none" w:sz="0" w:space="0" w:color="auto"/>
      </w:divBdr>
      <w:divsChild>
        <w:div w:id="1441678040">
          <w:marLeft w:val="0"/>
          <w:marRight w:val="0"/>
          <w:marTop w:val="0"/>
          <w:marBottom w:val="0"/>
          <w:divBdr>
            <w:top w:val="none" w:sz="0" w:space="0" w:color="auto"/>
            <w:left w:val="none" w:sz="0" w:space="0" w:color="auto"/>
            <w:bottom w:val="none" w:sz="0" w:space="0" w:color="auto"/>
            <w:right w:val="none" w:sz="0" w:space="0" w:color="auto"/>
          </w:divBdr>
          <w:divsChild>
            <w:div w:id="383987514">
              <w:marLeft w:val="0"/>
              <w:marRight w:val="0"/>
              <w:marTop w:val="0"/>
              <w:marBottom w:val="0"/>
              <w:divBdr>
                <w:top w:val="none" w:sz="0" w:space="0" w:color="auto"/>
                <w:left w:val="none" w:sz="0" w:space="0" w:color="auto"/>
                <w:bottom w:val="none" w:sz="0" w:space="0" w:color="auto"/>
                <w:right w:val="none" w:sz="0" w:space="0" w:color="auto"/>
              </w:divBdr>
              <w:divsChild>
                <w:div w:id="1914194449">
                  <w:marLeft w:val="0"/>
                  <w:marRight w:val="0"/>
                  <w:marTop w:val="0"/>
                  <w:marBottom w:val="0"/>
                  <w:divBdr>
                    <w:top w:val="none" w:sz="0" w:space="0" w:color="auto"/>
                    <w:left w:val="none" w:sz="0" w:space="0" w:color="auto"/>
                    <w:bottom w:val="none" w:sz="0" w:space="0" w:color="auto"/>
                    <w:right w:val="none" w:sz="0" w:space="0" w:color="auto"/>
                  </w:divBdr>
                  <w:divsChild>
                    <w:div w:id="348531534">
                      <w:marLeft w:val="0"/>
                      <w:marRight w:val="0"/>
                      <w:marTop w:val="0"/>
                      <w:marBottom w:val="0"/>
                      <w:divBdr>
                        <w:top w:val="none" w:sz="0" w:space="0" w:color="auto"/>
                        <w:left w:val="none" w:sz="0" w:space="0" w:color="auto"/>
                        <w:bottom w:val="none" w:sz="0" w:space="0" w:color="auto"/>
                        <w:right w:val="none" w:sz="0" w:space="0" w:color="auto"/>
                      </w:divBdr>
                      <w:divsChild>
                        <w:div w:id="1319188898">
                          <w:marLeft w:val="375"/>
                          <w:marRight w:val="0"/>
                          <w:marTop w:val="0"/>
                          <w:marBottom w:val="0"/>
                          <w:divBdr>
                            <w:top w:val="none" w:sz="0" w:space="0" w:color="auto"/>
                            <w:left w:val="none" w:sz="0" w:space="0" w:color="auto"/>
                            <w:bottom w:val="none" w:sz="0" w:space="0" w:color="auto"/>
                            <w:right w:val="none" w:sz="0" w:space="0" w:color="auto"/>
                          </w:divBdr>
                          <w:divsChild>
                            <w:div w:id="737753471">
                              <w:marLeft w:val="0"/>
                              <w:marRight w:val="0"/>
                              <w:marTop w:val="0"/>
                              <w:marBottom w:val="300"/>
                              <w:divBdr>
                                <w:top w:val="none" w:sz="0" w:space="0" w:color="auto"/>
                                <w:left w:val="single" w:sz="6" w:space="0" w:color="EDEDED"/>
                                <w:bottom w:val="single" w:sz="6" w:space="26" w:color="EDEDED"/>
                                <w:right w:val="single" w:sz="6" w:space="0" w:color="EDEDED"/>
                              </w:divBdr>
                              <w:divsChild>
                                <w:div w:id="13393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819247">
      <w:bodyDiv w:val="1"/>
      <w:marLeft w:val="0"/>
      <w:marRight w:val="0"/>
      <w:marTop w:val="0"/>
      <w:marBottom w:val="0"/>
      <w:divBdr>
        <w:top w:val="none" w:sz="0" w:space="0" w:color="auto"/>
        <w:left w:val="none" w:sz="0" w:space="0" w:color="auto"/>
        <w:bottom w:val="none" w:sz="0" w:space="0" w:color="auto"/>
        <w:right w:val="none" w:sz="0" w:space="0" w:color="auto"/>
      </w:divBdr>
      <w:divsChild>
        <w:div w:id="193262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doc.echr.coe.int/eng?i=001-99643" TargetMode="External"/><Relationship Id="rId13" Type="http://schemas.openxmlformats.org/officeDocument/2006/relationships/hyperlink" Target="http://www.giurcost.org/casi_scelti/Cassazione/Cass.sent.4184-2012.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rtecostituzionale.it/actionSchedaPronuncia.do?anno=2010&amp;numero=13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eng?i=001-15626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rticolo29.it/decisioni/corte-europea-dei-diritti-umani-vallianatos-e-altri-c-grecia-decisione-del-7-novembre-2013/" TargetMode="External"/><Relationship Id="rId4" Type="http://schemas.openxmlformats.org/officeDocument/2006/relationships/settings" Target="settings.xml"/><Relationship Id="rId9" Type="http://schemas.openxmlformats.org/officeDocument/2006/relationships/hyperlink" Target="http://hudoc.echr.coe.int/eng?i=001-128294" TargetMode="External"/><Relationship Id="rId14" Type="http://schemas.openxmlformats.org/officeDocument/2006/relationships/hyperlink" Target="http://www.cortecostituzionale.it/actionSchedaPronuncia.do?anno=2014&amp;numero=17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upremecourt.gov/opinions/14pdf/14-556_3204.pdf?utm_content=buffer73240&amp;utm_medium=social&amp;utm_source=facebook.com&amp;utm_campaign=buff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BBBC9-2870-4B72-85AC-325935E8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9</Pages>
  <Words>2754</Words>
  <Characters>15704</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Di Gennaro</dc:creator>
  <cp:lastModifiedBy>Maria Pia Sabatino</cp:lastModifiedBy>
  <cp:revision>11</cp:revision>
  <cp:lastPrinted>2015-08-03T14:31:00Z</cp:lastPrinted>
  <dcterms:created xsi:type="dcterms:W3CDTF">2015-08-05T13:38:00Z</dcterms:created>
  <dcterms:modified xsi:type="dcterms:W3CDTF">2015-08-05T16:32:00Z</dcterms:modified>
</cp:coreProperties>
</file>